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5B16A" w14:textId="5B5957B1" w:rsidR="000D2F26" w:rsidRPr="00584929" w:rsidRDefault="003212C0" w:rsidP="003C010E">
      <w:pPr>
        <w:spacing w:after="0" w:line="240" w:lineRule="auto"/>
        <w:jc w:val="both"/>
        <w:rPr>
          <w:rFonts w:ascii="Times New Roman" w:hAnsi="Times New Roman" w:cs="Times New Roman"/>
          <w:b/>
        </w:rPr>
      </w:pPr>
      <w:bookmarkStart w:id="0" w:name="_GoBack"/>
      <w:bookmarkEnd w:id="0"/>
      <w:r w:rsidRPr="00584929">
        <w:rPr>
          <w:rFonts w:ascii="Times New Roman" w:hAnsi="Times New Roman" w:cs="Times New Roman"/>
          <w:b/>
        </w:rPr>
        <w:t xml:space="preserve">Zestawienie uwag </w:t>
      </w:r>
      <w:r w:rsidR="000D2F26" w:rsidRPr="00584929">
        <w:rPr>
          <w:rFonts w:ascii="Times New Roman" w:hAnsi="Times New Roman" w:cs="Times New Roman"/>
          <w:b/>
        </w:rPr>
        <w:t>zgłoszonych w ramach uzgodnień międzyresortowych</w:t>
      </w:r>
      <w:r w:rsidR="007B015D" w:rsidRPr="00584929">
        <w:rPr>
          <w:rFonts w:ascii="Times New Roman" w:hAnsi="Times New Roman" w:cs="Times New Roman"/>
          <w:b/>
        </w:rPr>
        <w:t xml:space="preserve"> </w:t>
      </w:r>
      <w:r w:rsidR="000D2F26" w:rsidRPr="00584929">
        <w:rPr>
          <w:rFonts w:ascii="Times New Roman" w:hAnsi="Times New Roman" w:cs="Times New Roman"/>
          <w:b/>
        </w:rPr>
        <w:t>projektu</w:t>
      </w:r>
      <w:r w:rsidR="000D2F26" w:rsidRPr="00584929">
        <w:rPr>
          <w:rFonts w:ascii="Times New Roman" w:hAnsi="Times New Roman" w:cs="Times New Roman"/>
        </w:rPr>
        <w:t xml:space="preserve"> </w:t>
      </w:r>
      <w:r w:rsidR="00261460" w:rsidRPr="00584929">
        <w:rPr>
          <w:rFonts w:ascii="Times New Roman" w:hAnsi="Times New Roman" w:cs="Times New Roman"/>
          <w:b/>
        </w:rPr>
        <w:t>ustawy o </w:t>
      </w:r>
      <w:r w:rsidR="000D2F26" w:rsidRPr="00584929">
        <w:rPr>
          <w:rFonts w:ascii="Times New Roman" w:hAnsi="Times New Roman" w:cs="Times New Roman"/>
          <w:b/>
        </w:rPr>
        <w:t>otwartych danych i ponownym wykorzystywaniu informacji sektora publicznego</w:t>
      </w:r>
      <w:r w:rsidR="00B37EB8" w:rsidRPr="00584929">
        <w:rPr>
          <w:rFonts w:ascii="Times New Roman" w:hAnsi="Times New Roman" w:cs="Times New Roman"/>
          <w:b/>
        </w:rPr>
        <w:t xml:space="preserve"> (UC47)</w:t>
      </w:r>
      <w:r w:rsidR="003042DF" w:rsidRPr="00584929">
        <w:rPr>
          <w:rFonts w:ascii="Times New Roman" w:hAnsi="Times New Roman" w:cs="Times New Roman"/>
          <w:b/>
        </w:rPr>
        <w:t>. Stanowisko</w:t>
      </w:r>
      <w:r w:rsidR="001060D6">
        <w:rPr>
          <w:rFonts w:ascii="Times New Roman" w:hAnsi="Times New Roman" w:cs="Times New Roman"/>
          <w:b/>
        </w:rPr>
        <w:t xml:space="preserve"> projektodawcy</w:t>
      </w:r>
      <w:r w:rsidR="003042DF" w:rsidRPr="00584929">
        <w:rPr>
          <w:rFonts w:ascii="Times New Roman" w:hAnsi="Times New Roman" w:cs="Times New Roman"/>
          <w:b/>
        </w:rPr>
        <w:t xml:space="preserve"> po konferencji uzgodnieniowej. </w:t>
      </w:r>
    </w:p>
    <w:p w14:paraId="1F3402D5" w14:textId="77777777" w:rsidR="000D2F26" w:rsidRPr="00584929" w:rsidRDefault="000D2F26" w:rsidP="004A29FC">
      <w:pPr>
        <w:spacing w:after="0" w:line="240" w:lineRule="auto"/>
        <w:rPr>
          <w:rFonts w:ascii="Times New Roman" w:hAnsi="Times New Roman" w:cs="Times New Roman"/>
          <w:b/>
        </w:rPr>
      </w:pPr>
    </w:p>
    <w:tbl>
      <w:tblPr>
        <w:tblStyle w:val="Tabela-Siatka"/>
        <w:tblW w:w="14278" w:type="dxa"/>
        <w:tblLayout w:type="fixed"/>
        <w:tblLook w:val="04A0" w:firstRow="1" w:lastRow="0" w:firstColumn="1" w:lastColumn="0" w:noHBand="0" w:noVBand="1"/>
      </w:tblPr>
      <w:tblGrid>
        <w:gridCol w:w="676"/>
        <w:gridCol w:w="1968"/>
        <w:gridCol w:w="1526"/>
        <w:gridCol w:w="5323"/>
        <w:gridCol w:w="4785"/>
      </w:tblGrid>
      <w:tr w:rsidR="00BE7187" w:rsidRPr="00584929" w14:paraId="668FF499" w14:textId="77777777" w:rsidTr="00D94ED7">
        <w:tc>
          <w:tcPr>
            <w:tcW w:w="676" w:type="dxa"/>
            <w:shd w:val="clear" w:color="auto" w:fill="auto"/>
          </w:tcPr>
          <w:p w14:paraId="295D5842" w14:textId="154E8737" w:rsidR="00BE7187" w:rsidRPr="00584929" w:rsidRDefault="006F6537" w:rsidP="004A29FC">
            <w:pPr>
              <w:pStyle w:val="Akapitzlist"/>
              <w:rPr>
                <w:sz w:val="22"/>
                <w:szCs w:val="22"/>
              </w:rPr>
            </w:pPr>
            <w:r w:rsidRPr="00584929">
              <w:rPr>
                <w:sz w:val="22"/>
                <w:szCs w:val="22"/>
              </w:rPr>
              <w:t>LP</w:t>
            </w:r>
          </w:p>
        </w:tc>
        <w:tc>
          <w:tcPr>
            <w:tcW w:w="1968" w:type="dxa"/>
            <w:shd w:val="clear" w:color="auto" w:fill="auto"/>
            <w:vAlign w:val="center"/>
          </w:tcPr>
          <w:p w14:paraId="38F2D92A" w14:textId="77777777" w:rsidR="00BE7187" w:rsidRPr="00584929" w:rsidRDefault="002A5A9E" w:rsidP="004A29FC">
            <w:pPr>
              <w:rPr>
                <w:rFonts w:ascii="Times New Roman" w:hAnsi="Times New Roman" w:cs="Times New Roman"/>
                <w:b/>
              </w:rPr>
            </w:pPr>
            <w:r w:rsidRPr="00584929">
              <w:rPr>
                <w:rFonts w:ascii="Times New Roman" w:hAnsi="Times New Roman" w:cs="Times New Roman"/>
                <w:b/>
              </w:rPr>
              <w:t>Podmiot zgłaszający uwagę</w:t>
            </w:r>
          </w:p>
          <w:p w14:paraId="7D0F9C43" w14:textId="77777777" w:rsidR="00B05377" w:rsidRPr="00584929" w:rsidRDefault="00B05377" w:rsidP="004A29FC">
            <w:pPr>
              <w:rPr>
                <w:rFonts w:ascii="Times New Roman" w:hAnsi="Times New Roman" w:cs="Times New Roman"/>
                <w:b/>
              </w:rPr>
            </w:pPr>
          </w:p>
        </w:tc>
        <w:tc>
          <w:tcPr>
            <w:tcW w:w="1526" w:type="dxa"/>
            <w:shd w:val="clear" w:color="auto" w:fill="auto"/>
            <w:vAlign w:val="center"/>
          </w:tcPr>
          <w:p w14:paraId="5AEAB0B2" w14:textId="77777777" w:rsidR="00BE7187" w:rsidRPr="00584929" w:rsidRDefault="00BE7187" w:rsidP="004A29FC">
            <w:pPr>
              <w:rPr>
                <w:rFonts w:ascii="Times New Roman" w:hAnsi="Times New Roman" w:cs="Times New Roman"/>
                <w:b/>
              </w:rPr>
            </w:pPr>
            <w:r w:rsidRPr="00584929">
              <w:rPr>
                <w:rFonts w:ascii="Times New Roman" w:hAnsi="Times New Roman" w:cs="Times New Roman"/>
                <w:b/>
              </w:rPr>
              <w:t>Jednostka redakcyjna</w:t>
            </w:r>
          </w:p>
          <w:p w14:paraId="78898E54" w14:textId="77777777" w:rsidR="002600EE" w:rsidRPr="00584929" w:rsidRDefault="002600EE" w:rsidP="004A29FC">
            <w:pPr>
              <w:rPr>
                <w:rFonts w:ascii="Times New Roman" w:hAnsi="Times New Roman" w:cs="Times New Roman"/>
                <w:b/>
              </w:rPr>
            </w:pPr>
          </w:p>
        </w:tc>
        <w:tc>
          <w:tcPr>
            <w:tcW w:w="5323" w:type="dxa"/>
            <w:shd w:val="clear" w:color="auto" w:fill="auto"/>
            <w:vAlign w:val="center"/>
          </w:tcPr>
          <w:p w14:paraId="50261B69" w14:textId="77777777" w:rsidR="00BE7187" w:rsidRPr="00584929" w:rsidRDefault="00BE7187" w:rsidP="004A29FC">
            <w:pPr>
              <w:jc w:val="center"/>
              <w:rPr>
                <w:rFonts w:ascii="Times New Roman" w:hAnsi="Times New Roman" w:cs="Times New Roman"/>
                <w:b/>
              </w:rPr>
            </w:pPr>
            <w:r w:rsidRPr="00584929">
              <w:rPr>
                <w:rFonts w:ascii="Times New Roman" w:hAnsi="Times New Roman" w:cs="Times New Roman"/>
                <w:b/>
              </w:rPr>
              <w:t>Treść uwagi</w:t>
            </w:r>
          </w:p>
        </w:tc>
        <w:tc>
          <w:tcPr>
            <w:tcW w:w="4785" w:type="dxa"/>
            <w:shd w:val="clear" w:color="auto" w:fill="auto"/>
            <w:vAlign w:val="center"/>
          </w:tcPr>
          <w:p w14:paraId="01F8D9BE" w14:textId="77777777" w:rsidR="00BE7187" w:rsidRPr="00584929" w:rsidRDefault="002600EE" w:rsidP="004A29FC">
            <w:pPr>
              <w:rPr>
                <w:rFonts w:ascii="Times New Roman" w:hAnsi="Times New Roman" w:cs="Times New Roman"/>
                <w:b/>
              </w:rPr>
            </w:pPr>
            <w:r w:rsidRPr="00584929">
              <w:rPr>
                <w:rFonts w:ascii="Times New Roman" w:hAnsi="Times New Roman" w:cs="Times New Roman"/>
                <w:b/>
              </w:rPr>
              <w:t xml:space="preserve">Stanowisko </w:t>
            </w:r>
            <w:r w:rsidR="00B1287C" w:rsidRPr="00584929">
              <w:rPr>
                <w:rFonts w:ascii="Times New Roman" w:hAnsi="Times New Roman" w:cs="Times New Roman"/>
                <w:b/>
              </w:rPr>
              <w:t xml:space="preserve">Kancelarii Prezesa Rady Ministrów </w:t>
            </w:r>
          </w:p>
          <w:p w14:paraId="60F65E63" w14:textId="03EC81AD" w:rsidR="002D7FDC" w:rsidRPr="00584929" w:rsidRDefault="002D7FDC" w:rsidP="004A29FC">
            <w:pPr>
              <w:rPr>
                <w:rFonts w:ascii="Times New Roman" w:hAnsi="Times New Roman" w:cs="Times New Roman"/>
                <w:b/>
              </w:rPr>
            </w:pPr>
          </w:p>
        </w:tc>
      </w:tr>
      <w:tr w:rsidR="005F1F4B" w:rsidRPr="00584929" w14:paraId="49A1E7AA" w14:textId="77777777" w:rsidTr="00D94ED7">
        <w:tc>
          <w:tcPr>
            <w:tcW w:w="676" w:type="dxa"/>
            <w:shd w:val="clear" w:color="auto" w:fill="auto"/>
          </w:tcPr>
          <w:p w14:paraId="62541BF5" w14:textId="1278100D" w:rsidR="005F1F4B" w:rsidRPr="00584929" w:rsidRDefault="005F1F4B" w:rsidP="004A29FC">
            <w:pPr>
              <w:pStyle w:val="Akapitzlist"/>
              <w:numPr>
                <w:ilvl w:val="0"/>
                <w:numId w:val="20"/>
              </w:numPr>
              <w:rPr>
                <w:sz w:val="22"/>
                <w:szCs w:val="22"/>
              </w:rPr>
            </w:pPr>
          </w:p>
        </w:tc>
        <w:tc>
          <w:tcPr>
            <w:tcW w:w="1968" w:type="dxa"/>
            <w:shd w:val="clear" w:color="auto" w:fill="auto"/>
          </w:tcPr>
          <w:p w14:paraId="4FC18289" w14:textId="5CEE2ABD" w:rsidR="005F1F4B" w:rsidRPr="00584929" w:rsidRDefault="00173060"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4DB99743" w14:textId="6C64FAD7" w:rsidR="005F1F4B" w:rsidRPr="00584929" w:rsidRDefault="00173060" w:rsidP="004A29FC">
            <w:pPr>
              <w:rPr>
                <w:rFonts w:ascii="Times New Roman" w:hAnsi="Times New Roman" w:cs="Times New Roman"/>
              </w:rPr>
            </w:pPr>
            <w:r w:rsidRPr="00584929">
              <w:rPr>
                <w:rFonts w:ascii="Times New Roman" w:hAnsi="Times New Roman" w:cs="Times New Roman"/>
              </w:rPr>
              <w:t>Art. 1</w:t>
            </w:r>
          </w:p>
        </w:tc>
        <w:tc>
          <w:tcPr>
            <w:tcW w:w="5323" w:type="dxa"/>
            <w:shd w:val="clear" w:color="auto" w:fill="auto"/>
          </w:tcPr>
          <w:p w14:paraId="238751A8" w14:textId="74FB56DB" w:rsidR="002600EE" w:rsidRPr="00584929" w:rsidRDefault="00173060" w:rsidP="00A9679C">
            <w:pPr>
              <w:jc w:val="both"/>
              <w:rPr>
                <w:rFonts w:ascii="Times New Roman" w:hAnsi="Times New Roman" w:cs="Times New Roman"/>
              </w:rPr>
            </w:pPr>
            <w:r w:rsidRPr="00584929">
              <w:rPr>
                <w:rFonts w:ascii="Times New Roman" w:hAnsi="Times New Roman" w:cs="Times New Roman"/>
              </w:rPr>
              <w:t>W zakresie art. 1 ponownej analizy projektodawcy wymaga czy ustawa w sposób kompletny określa zasady otwartości danych oraz tryb udostępniania informacji sektora publicznego do ponownego wykorzystywania, zwłaszcza wobec regulacji rozdziału 6 projektu ustawy, który nie zawiera norm odnoszących się do ustalenia zasad otwartości danych ani trybu ich udostępniania na portalu otwartych danych. W konsekwencji przepis art. 1 będzie wymagał dostosowania do zakresu przed</w:t>
            </w:r>
            <w:r w:rsidR="00A9679C" w:rsidRPr="00584929">
              <w:rPr>
                <w:rFonts w:ascii="Times New Roman" w:hAnsi="Times New Roman" w:cs="Times New Roman"/>
              </w:rPr>
              <w:t>miotowego przepisów zawartych w </w:t>
            </w:r>
            <w:r w:rsidRPr="00584929">
              <w:rPr>
                <w:rFonts w:ascii="Times New Roman" w:hAnsi="Times New Roman" w:cs="Times New Roman"/>
              </w:rPr>
              <w:t>projekcie lub konieczne będzie uzupełnienie regulac</w:t>
            </w:r>
            <w:r w:rsidR="00A9679C" w:rsidRPr="00584929">
              <w:rPr>
                <w:rFonts w:ascii="Times New Roman" w:hAnsi="Times New Roman" w:cs="Times New Roman"/>
              </w:rPr>
              <w:t>ji ustawy o elementy wskazane w </w:t>
            </w:r>
            <w:r w:rsidRPr="00584929">
              <w:rPr>
                <w:rFonts w:ascii="Times New Roman" w:hAnsi="Times New Roman" w:cs="Times New Roman"/>
              </w:rPr>
              <w:t>tym przepisie</w:t>
            </w:r>
            <w:r w:rsidR="00747421" w:rsidRPr="00584929">
              <w:rPr>
                <w:rFonts w:ascii="Times New Roman" w:hAnsi="Times New Roman" w:cs="Times New Roman"/>
              </w:rPr>
              <w:t>.</w:t>
            </w:r>
          </w:p>
        </w:tc>
        <w:tc>
          <w:tcPr>
            <w:tcW w:w="4785" w:type="dxa"/>
            <w:shd w:val="clear" w:color="auto" w:fill="auto"/>
          </w:tcPr>
          <w:p w14:paraId="024A8FC9" w14:textId="77777777" w:rsidR="002071EE" w:rsidRPr="00584929" w:rsidRDefault="00173060" w:rsidP="00FB3873">
            <w:pPr>
              <w:rPr>
                <w:rFonts w:ascii="Times New Roman" w:hAnsi="Times New Roman" w:cs="Times New Roman"/>
                <w:b/>
              </w:rPr>
            </w:pPr>
            <w:r w:rsidRPr="00584929">
              <w:rPr>
                <w:rFonts w:ascii="Times New Roman" w:hAnsi="Times New Roman" w:cs="Times New Roman"/>
                <w:b/>
              </w:rPr>
              <w:t xml:space="preserve">Uwaga </w:t>
            </w:r>
            <w:r w:rsidR="00FB3873" w:rsidRPr="00584929">
              <w:rPr>
                <w:rFonts w:ascii="Times New Roman" w:hAnsi="Times New Roman" w:cs="Times New Roman"/>
                <w:b/>
              </w:rPr>
              <w:t xml:space="preserve">wyjaśniona </w:t>
            </w:r>
          </w:p>
          <w:p w14:paraId="56BA7185" w14:textId="3DF71BF4" w:rsidR="00FB3873" w:rsidRPr="00584929" w:rsidRDefault="00BE033A" w:rsidP="001372BF">
            <w:pPr>
              <w:jc w:val="both"/>
              <w:rPr>
                <w:rFonts w:ascii="Times New Roman" w:hAnsi="Times New Roman" w:cs="Times New Roman"/>
              </w:rPr>
            </w:pPr>
            <w:r w:rsidRPr="00584929">
              <w:rPr>
                <w:rFonts w:ascii="Times New Roman" w:hAnsi="Times New Roman" w:cs="Times New Roman"/>
              </w:rPr>
              <w:t xml:space="preserve">Przepis </w:t>
            </w:r>
            <w:r w:rsidR="00FB3873" w:rsidRPr="00584929">
              <w:rPr>
                <w:rFonts w:ascii="Times New Roman" w:hAnsi="Times New Roman" w:cs="Times New Roman"/>
              </w:rPr>
              <w:t>zostanie poddan</w:t>
            </w:r>
            <w:r w:rsidRPr="00584929">
              <w:rPr>
                <w:rFonts w:ascii="Times New Roman" w:hAnsi="Times New Roman" w:cs="Times New Roman"/>
              </w:rPr>
              <w:t>y</w:t>
            </w:r>
            <w:r w:rsidR="00FB3873" w:rsidRPr="00584929">
              <w:rPr>
                <w:rFonts w:ascii="Times New Roman" w:hAnsi="Times New Roman" w:cs="Times New Roman"/>
              </w:rPr>
              <w:t xml:space="preserve"> </w:t>
            </w:r>
            <w:r w:rsidRPr="00584929">
              <w:rPr>
                <w:rFonts w:ascii="Times New Roman" w:hAnsi="Times New Roman" w:cs="Times New Roman"/>
              </w:rPr>
              <w:t xml:space="preserve">dodatkowej </w:t>
            </w:r>
            <w:r w:rsidR="00FB3873" w:rsidRPr="00584929">
              <w:rPr>
                <w:rFonts w:ascii="Times New Roman" w:hAnsi="Times New Roman" w:cs="Times New Roman"/>
              </w:rPr>
              <w:t xml:space="preserve">analizie </w:t>
            </w:r>
            <w:r w:rsidR="001372BF" w:rsidRPr="00584929">
              <w:rPr>
                <w:rFonts w:ascii="Times New Roman" w:hAnsi="Times New Roman" w:cs="Times New Roman"/>
              </w:rPr>
              <w:t>w </w:t>
            </w:r>
            <w:r w:rsidRPr="00584929">
              <w:rPr>
                <w:rFonts w:ascii="Times New Roman" w:hAnsi="Times New Roman" w:cs="Times New Roman"/>
              </w:rPr>
              <w:t xml:space="preserve">ramach rozpatrzenia projektu ustawy przez </w:t>
            </w:r>
            <w:r w:rsidR="001372BF" w:rsidRPr="00584929">
              <w:rPr>
                <w:rFonts w:ascii="Times New Roman" w:hAnsi="Times New Roman" w:cs="Times New Roman"/>
              </w:rPr>
              <w:t>K</w:t>
            </w:r>
            <w:r w:rsidRPr="00584929">
              <w:rPr>
                <w:rFonts w:ascii="Times New Roman" w:hAnsi="Times New Roman" w:cs="Times New Roman"/>
              </w:rPr>
              <w:t>omisję prawniczą.</w:t>
            </w:r>
            <w:r w:rsidR="00FB3873" w:rsidRPr="00584929">
              <w:rPr>
                <w:rFonts w:ascii="Times New Roman" w:hAnsi="Times New Roman" w:cs="Times New Roman"/>
              </w:rPr>
              <w:t xml:space="preserve"> </w:t>
            </w:r>
          </w:p>
        </w:tc>
      </w:tr>
      <w:tr w:rsidR="00261460" w:rsidRPr="00584929" w14:paraId="272A7B4C" w14:textId="77777777" w:rsidTr="00D94ED7">
        <w:tc>
          <w:tcPr>
            <w:tcW w:w="676" w:type="dxa"/>
            <w:shd w:val="clear" w:color="auto" w:fill="auto"/>
          </w:tcPr>
          <w:p w14:paraId="6D4BC3EE" w14:textId="549EF2F4" w:rsidR="00261460" w:rsidRPr="00584929" w:rsidRDefault="00261460" w:rsidP="004A29FC">
            <w:pPr>
              <w:pStyle w:val="Akapitzlist"/>
              <w:numPr>
                <w:ilvl w:val="0"/>
                <w:numId w:val="20"/>
              </w:numPr>
              <w:rPr>
                <w:sz w:val="22"/>
                <w:szCs w:val="22"/>
              </w:rPr>
            </w:pPr>
          </w:p>
        </w:tc>
        <w:tc>
          <w:tcPr>
            <w:tcW w:w="1968" w:type="dxa"/>
            <w:shd w:val="clear" w:color="auto" w:fill="auto"/>
          </w:tcPr>
          <w:p w14:paraId="0EA876E0" w14:textId="4A9D4CB6" w:rsidR="00261460" w:rsidRPr="00584929" w:rsidRDefault="00405BA3"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6FE53B20" w14:textId="087894DE" w:rsidR="00261460" w:rsidRPr="00584929" w:rsidRDefault="00405BA3" w:rsidP="004A29FC">
            <w:pPr>
              <w:rPr>
                <w:rFonts w:ascii="Times New Roman" w:hAnsi="Times New Roman" w:cs="Times New Roman"/>
              </w:rPr>
            </w:pPr>
            <w:r w:rsidRPr="00584929">
              <w:rPr>
                <w:rFonts w:ascii="Times New Roman" w:hAnsi="Times New Roman" w:cs="Times New Roman"/>
              </w:rPr>
              <w:t>Art. 2 pkt 2</w:t>
            </w:r>
          </w:p>
        </w:tc>
        <w:tc>
          <w:tcPr>
            <w:tcW w:w="5323" w:type="dxa"/>
            <w:shd w:val="clear" w:color="auto" w:fill="auto"/>
          </w:tcPr>
          <w:p w14:paraId="596C5924" w14:textId="77777777" w:rsidR="00405BA3" w:rsidRPr="00584929" w:rsidRDefault="00405BA3" w:rsidP="00A9679C">
            <w:pPr>
              <w:jc w:val="both"/>
              <w:rPr>
                <w:rFonts w:ascii="Times New Roman" w:hAnsi="Times New Roman" w:cs="Times New Roman"/>
              </w:rPr>
            </w:pPr>
            <w:r w:rsidRPr="00584929">
              <w:rPr>
                <w:rFonts w:ascii="Times New Roman" w:hAnsi="Times New Roman" w:cs="Times New Roman"/>
              </w:rPr>
              <w:t>Ponownej analizy wymaga siatka pojęciowa zdefiniowana w art. 2 ustawy:</w:t>
            </w:r>
          </w:p>
          <w:p w14:paraId="481A2CF7" w14:textId="0D82ECD5" w:rsidR="00405BA3" w:rsidRPr="00584929" w:rsidRDefault="00830BBC" w:rsidP="00A9679C">
            <w:pPr>
              <w:jc w:val="both"/>
              <w:rPr>
                <w:rFonts w:ascii="Times New Roman" w:hAnsi="Times New Roman" w:cs="Times New Roman"/>
              </w:rPr>
            </w:pPr>
            <w:r w:rsidRPr="00584929">
              <w:rPr>
                <w:rFonts w:ascii="Times New Roman" w:hAnsi="Times New Roman" w:cs="Times New Roman"/>
              </w:rPr>
              <w:t xml:space="preserve">definicja danych badawczych – </w:t>
            </w:r>
            <w:r w:rsidR="00405BA3" w:rsidRPr="00584929">
              <w:rPr>
                <w:rFonts w:ascii="Times New Roman" w:hAnsi="Times New Roman" w:cs="Times New Roman"/>
              </w:rPr>
              <w:t>art. 2 pkt 2 projektu ustawy – odwołuje się do danych będących w posiadaniu podmiotów, o których mowa w art. 7 ust. 1 ustawy z dnia 20 lipca 2018 r. – Prawo o szkolnictwie wyższym i nauce (Dz. U. z 2020 r. poz. 85 z późn. zm.), jednocześnie jednak art. 4 pkt 3 projektu ustawy wskazuje, że przepisów tej ustawy nie stosuje się</w:t>
            </w:r>
            <w:r w:rsidR="00E2560A" w:rsidRPr="00584929">
              <w:rPr>
                <w:rFonts w:ascii="Times New Roman" w:hAnsi="Times New Roman" w:cs="Times New Roman"/>
              </w:rPr>
              <w:t xml:space="preserve"> do podmiotów, o których mowa w </w:t>
            </w:r>
            <w:r w:rsidR="00405BA3" w:rsidRPr="00584929">
              <w:rPr>
                <w:rFonts w:ascii="Times New Roman" w:hAnsi="Times New Roman" w:cs="Times New Roman"/>
              </w:rPr>
              <w:t>art. 7 ust. 1 ustawy –</w:t>
            </w:r>
            <w:r w:rsidR="00E2560A" w:rsidRPr="00584929">
              <w:rPr>
                <w:rFonts w:ascii="Times New Roman" w:hAnsi="Times New Roman" w:cs="Times New Roman"/>
              </w:rPr>
              <w:t xml:space="preserve"> Prawo o szkolnictwie wyższym i </w:t>
            </w:r>
            <w:r w:rsidR="00405BA3" w:rsidRPr="00584929">
              <w:rPr>
                <w:rFonts w:ascii="Times New Roman" w:hAnsi="Times New Roman" w:cs="Times New Roman"/>
              </w:rPr>
              <w:t>nauce, wskazując, że wyłączeniu nie podlegają dane badawcze, jeżeli dane te spełniają warunki, o których mowa w art. 22</w:t>
            </w:r>
            <w:r w:rsidR="00E2560A" w:rsidRPr="00584929">
              <w:rPr>
                <w:rFonts w:ascii="Times New Roman" w:hAnsi="Times New Roman" w:cs="Times New Roman"/>
              </w:rPr>
              <w:t xml:space="preserve"> ustawy oraz dane pozostające w </w:t>
            </w:r>
            <w:r w:rsidR="00405BA3" w:rsidRPr="00584929">
              <w:rPr>
                <w:rFonts w:ascii="Times New Roman" w:hAnsi="Times New Roman" w:cs="Times New Roman"/>
              </w:rPr>
              <w:t xml:space="preserve">posiadaniu bibliotek naukowych, IMGW-PIB oraz PIG-PIB. Dla zachowania jasności przepisów projektu tej ustawy, przeanalizowania wymaga czy wystarczającym do realizacji celów dyrektywy, której wdrożenia dokonuje </w:t>
            </w:r>
            <w:r w:rsidR="00405BA3" w:rsidRPr="00584929">
              <w:rPr>
                <w:rFonts w:ascii="Times New Roman" w:hAnsi="Times New Roman" w:cs="Times New Roman"/>
              </w:rPr>
              <w:lastRenderedPageBreak/>
              <w:t>niniejsza ustawa nie byłoby zasadnym pozostawienie jedynie przedmiotowych elementów definicji danych badawczych, wykluczając element podmiotowy definicji, który może skutkować t</w:t>
            </w:r>
            <w:r w:rsidR="00E2560A" w:rsidRPr="00584929">
              <w:rPr>
                <w:rFonts w:ascii="Times New Roman" w:hAnsi="Times New Roman" w:cs="Times New Roman"/>
              </w:rPr>
              <w:t>rudnościami interpretacyjnymi w </w:t>
            </w:r>
            <w:r w:rsidR="00405BA3" w:rsidRPr="00584929">
              <w:rPr>
                <w:rFonts w:ascii="Times New Roman" w:hAnsi="Times New Roman" w:cs="Times New Roman"/>
              </w:rPr>
              <w:t>momencie stosowania tej ustawy. Ponadto definicja wskazuje, że danymi badawczymi są tylko takie dane, które są udostępniane w postaci elektronicznej, zaś jednocześnie art. 22 wskazuje, że  ponownemu wykorzystaniu podlegają jedynie te dane, które są udostępnione w systemie teleinformatycznym podmiotu zobowiązanego, co jak się wydaje wskazuje na dwie, tożsame cechy tych danych - relacja tych przepisów wymaga dodatkowej analizy.</w:t>
            </w:r>
          </w:p>
        </w:tc>
        <w:tc>
          <w:tcPr>
            <w:tcW w:w="4785" w:type="dxa"/>
            <w:shd w:val="clear" w:color="auto" w:fill="auto"/>
          </w:tcPr>
          <w:p w14:paraId="23212CE3" w14:textId="77777777" w:rsidR="00261460" w:rsidRPr="00584929" w:rsidRDefault="00405BA3" w:rsidP="00E2560A">
            <w:pPr>
              <w:rPr>
                <w:rFonts w:ascii="Times New Roman" w:hAnsi="Times New Roman" w:cs="Times New Roman"/>
                <w:b/>
              </w:rPr>
            </w:pPr>
            <w:r w:rsidRPr="00584929">
              <w:rPr>
                <w:rFonts w:ascii="Times New Roman" w:hAnsi="Times New Roman" w:cs="Times New Roman"/>
                <w:b/>
              </w:rPr>
              <w:lastRenderedPageBreak/>
              <w:t xml:space="preserve">Uwaga </w:t>
            </w:r>
            <w:r w:rsidR="00E2560A" w:rsidRPr="00584929">
              <w:rPr>
                <w:rFonts w:ascii="Times New Roman" w:hAnsi="Times New Roman" w:cs="Times New Roman"/>
                <w:b/>
              </w:rPr>
              <w:t xml:space="preserve">uwzględniona </w:t>
            </w:r>
          </w:p>
          <w:p w14:paraId="2F3BE0C4" w14:textId="3F6DB6AB" w:rsidR="00E2560A" w:rsidRPr="00584929" w:rsidRDefault="00EF4B9D" w:rsidP="00EF4B9D">
            <w:pPr>
              <w:rPr>
                <w:rFonts w:ascii="Times New Roman" w:hAnsi="Times New Roman" w:cs="Times New Roman"/>
              </w:rPr>
            </w:pPr>
            <w:r w:rsidRPr="00584929">
              <w:rPr>
                <w:rFonts w:ascii="Times New Roman" w:hAnsi="Times New Roman" w:cs="Times New Roman"/>
              </w:rPr>
              <w:t xml:space="preserve">Przepis zostanie zmieniony. </w:t>
            </w:r>
          </w:p>
        </w:tc>
      </w:tr>
      <w:tr w:rsidR="00261460" w:rsidRPr="00584929" w14:paraId="6AF15323" w14:textId="77777777" w:rsidTr="00D94ED7">
        <w:tc>
          <w:tcPr>
            <w:tcW w:w="676" w:type="dxa"/>
            <w:shd w:val="clear" w:color="auto" w:fill="auto"/>
          </w:tcPr>
          <w:p w14:paraId="62C9ABB3" w14:textId="4EBD6A44" w:rsidR="00261460" w:rsidRPr="00584929" w:rsidRDefault="00261460" w:rsidP="004A29FC">
            <w:pPr>
              <w:pStyle w:val="Akapitzlist"/>
              <w:numPr>
                <w:ilvl w:val="0"/>
                <w:numId w:val="20"/>
              </w:numPr>
              <w:rPr>
                <w:sz w:val="22"/>
                <w:szCs w:val="22"/>
              </w:rPr>
            </w:pPr>
          </w:p>
        </w:tc>
        <w:tc>
          <w:tcPr>
            <w:tcW w:w="1968" w:type="dxa"/>
            <w:shd w:val="clear" w:color="auto" w:fill="auto"/>
          </w:tcPr>
          <w:p w14:paraId="6DCCD95A" w14:textId="4F73B768" w:rsidR="00261460" w:rsidRPr="00584929" w:rsidRDefault="00FB427C" w:rsidP="004A29FC">
            <w:pPr>
              <w:rPr>
                <w:rFonts w:ascii="Times New Roman" w:hAnsi="Times New Roman" w:cs="Times New Roman"/>
              </w:rPr>
            </w:pPr>
            <w:r w:rsidRPr="00584929">
              <w:rPr>
                <w:rFonts w:ascii="Times New Roman" w:hAnsi="Times New Roman" w:cs="Times New Roman"/>
              </w:rPr>
              <w:t>Ministerstwo Infrastruktury</w:t>
            </w:r>
          </w:p>
        </w:tc>
        <w:tc>
          <w:tcPr>
            <w:tcW w:w="1526" w:type="dxa"/>
            <w:shd w:val="clear" w:color="auto" w:fill="auto"/>
          </w:tcPr>
          <w:p w14:paraId="66BB3E0A" w14:textId="61679108" w:rsidR="00261460" w:rsidRPr="00584929" w:rsidRDefault="00FB427C" w:rsidP="004A29FC">
            <w:pPr>
              <w:rPr>
                <w:rFonts w:ascii="Times New Roman" w:hAnsi="Times New Roman" w:cs="Times New Roman"/>
              </w:rPr>
            </w:pPr>
            <w:r w:rsidRPr="00584929">
              <w:rPr>
                <w:rFonts w:ascii="Times New Roman" w:hAnsi="Times New Roman" w:cs="Times New Roman"/>
              </w:rPr>
              <w:t>Art. 2 pkt 5</w:t>
            </w:r>
          </w:p>
        </w:tc>
        <w:tc>
          <w:tcPr>
            <w:tcW w:w="5323" w:type="dxa"/>
            <w:shd w:val="clear" w:color="auto" w:fill="auto"/>
          </w:tcPr>
          <w:p w14:paraId="3847F8A6" w14:textId="38027118" w:rsidR="00FB427C" w:rsidRPr="00584929" w:rsidRDefault="00FB427C" w:rsidP="00A9679C">
            <w:pPr>
              <w:jc w:val="both"/>
              <w:rPr>
                <w:rFonts w:ascii="Times New Roman" w:hAnsi="Times New Roman" w:cs="Times New Roman"/>
              </w:rPr>
            </w:pPr>
            <w:r w:rsidRPr="00584929">
              <w:rPr>
                <w:rFonts w:ascii="Times New Roman" w:hAnsi="Times New Roman" w:cs="Times New Roman"/>
              </w:rPr>
              <w:t xml:space="preserve">Definicja „danych prywatnych", ujęta w art. 2 pkt 5 projektu, nie </w:t>
            </w:r>
            <w:r w:rsidR="00C40C48" w:rsidRPr="00584929">
              <w:rPr>
                <w:rFonts w:ascii="Times New Roman" w:hAnsi="Times New Roman" w:cs="Times New Roman"/>
              </w:rPr>
              <w:t>jest spójna i nie pokrywa się z </w:t>
            </w:r>
            <w:r w:rsidRPr="00584929">
              <w:rPr>
                <w:rFonts w:ascii="Times New Roman" w:hAnsi="Times New Roman" w:cs="Times New Roman"/>
              </w:rPr>
              <w:t>funkcjonującymi już w nauce znaczeniami z obszaru dostępu do danych publicznych, co może być mylące dla odbiorcy. Z uwagi na to, że część podmiotów zobowiązanych do udostępniania danych wytwarza również dane niepodlegające, z mocy ustawy, takiemu udostępnieniu, jak również posiada tego rodzaju dane, nie będzie możliwe jednoznaczne określenie statusu takiego dokumentu (np. gdy dane wytworzone przez wykonawcę w postępowaniu o udzielenie zamówienia publicznego, jednocześnie są posiadane przez podmiot zobowiązany do udostępniania danych, czy też gdy dane są wytworzone przez podmiot prywatny</w:t>
            </w:r>
            <w:r w:rsidR="00C40C48" w:rsidRPr="00584929">
              <w:rPr>
                <w:rFonts w:ascii="Times New Roman" w:hAnsi="Times New Roman" w:cs="Times New Roman"/>
              </w:rPr>
              <w:t>, np. stanowią pismo z prośbą o </w:t>
            </w:r>
            <w:r w:rsidRPr="00584929">
              <w:rPr>
                <w:rFonts w:ascii="Times New Roman" w:hAnsi="Times New Roman" w:cs="Times New Roman"/>
              </w:rPr>
              <w:t>udzielenie pomocy, a są posiadane przez podmiot zobowiązany do udostępniania danych, czy też dane prywatne, które podmiot zobowiązany posiada ale nie jest ich adresatem, czy też posiada w ramach działalności, której wykonywanie jest wyłączone spod zakresu obowiązywania ustawy). Jednocześnie wydaje się, że występuje rozbieżn</w:t>
            </w:r>
            <w:r w:rsidR="00C40C48" w:rsidRPr="00584929">
              <w:rPr>
                <w:rFonts w:ascii="Times New Roman" w:hAnsi="Times New Roman" w:cs="Times New Roman"/>
              </w:rPr>
              <w:t>ość w kwalifikacji ww. danych w </w:t>
            </w:r>
            <w:r w:rsidRPr="00584929">
              <w:rPr>
                <w:rFonts w:ascii="Times New Roman" w:hAnsi="Times New Roman" w:cs="Times New Roman"/>
              </w:rPr>
              <w:t xml:space="preserve">stosunku do ustawy o dostępie do informacji publicznej, </w:t>
            </w:r>
            <w:r w:rsidRPr="00584929">
              <w:rPr>
                <w:rFonts w:ascii="Times New Roman" w:hAnsi="Times New Roman" w:cs="Times New Roman"/>
              </w:rPr>
              <w:lastRenderedPageBreak/>
              <w:t>która odnosi się do danych publicznych i tych niestanowiących informacji publicznej. Liczne orzecznictwo w tym zakresie wskazuje również na charakter danych prywatnych. Wobec czego rozważenia wymaga doprecyzowanie definicji dotyczącej danych prywatnych lub uzasadnienia.</w:t>
            </w:r>
          </w:p>
        </w:tc>
        <w:tc>
          <w:tcPr>
            <w:tcW w:w="4785" w:type="dxa"/>
            <w:shd w:val="clear" w:color="auto" w:fill="auto"/>
          </w:tcPr>
          <w:p w14:paraId="5C57D2C7" w14:textId="77777777" w:rsidR="00261460" w:rsidRPr="00584929" w:rsidRDefault="00FB427C" w:rsidP="004A29FC">
            <w:pPr>
              <w:rPr>
                <w:rFonts w:ascii="Times New Roman" w:hAnsi="Times New Roman" w:cs="Times New Roman"/>
                <w:b/>
              </w:rPr>
            </w:pPr>
            <w:r w:rsidRPr="00584929">
              <w:rPr>
                <w:rFonts w:ascii="Times New Roman" w:hAnsi="Times New Roman" w:cs="Times New Roman"/>
                <w:b/>
              </w:rPr>
              <w:lastRenderedPageBreak/>
              <w:t>Uwaga nieuwzględniona</w:t>
            </w:r>
          </w:p>
          <w:p w14:paraId="414F114D" w14:textId="47DAFFB8" w:rsidR="00385FDB" w:rsidRPr="00584929" w:rsidRDefault="00C40C48" w:rsidP="00C40C48">
            <w:pPr>
              <w:jc w:val="both"/>
              <w:rPr>
                <w:rFonts w:ascii="Times New Roman" w:hAnsi="Times New Roman" w:cs="Times New Roman"/>
              </w:rPr>
            </w:pPr>
            <w:r w:rsidRPr="00584929">
              <w:rPr>
                <w:rFonts w:ascii="Times New Roman" w:hAnsi="Times New Roman" w:cs="Times New Roman"/>
              </w:rPr>
              <w:t>Definicja danych prywatnych w projekcie ustawy, w jej części przedmiotowej, została skonstruowana w identyczny sposób jak definicja ISP (każd</w:t>
            </w:r>
            <w:r w:rsidR="00385FDB" w:rsidRPr="00584929">
              <w:rPr>
                <w:rFonts w:ascii="Times New Roman" w:hAnsi="Times New Roman" w:cs="Times New Roman"/>
              </w:rPr>
              <w:t>a</w:t>
            </w:r>
            <w:r w:rsidRPr="00584929">
              <w:rPr>
                <w:rFonts w:ascii="Times New Roman" w:hAnsi="Times New Roman" w:cs="Times New Roman"/>
              </w:rPr>
              <w:t xml:space="preserve"> treść lub jej część, niezależnie od sposobu utrwalenia, w szczególności w postaci papierowej, elektronicznej itd.). Tym co odróżnia dane prywatne od ISP jest fakt ich posiadania przez podmioty inne niż podmioty zobowiązane (podmioty inne niż podmioty wskazane w art. 3 projektu) oraz to, że dane prywatne muszą być wytworzone przez takie podmioty.</w:t>
            </w:r>
            <w:r w:rsidR="00385FDB" w:rsidRPr="00584929">
              <w:t xml:space="preserve"> </w:t>
            </w:r>
            <w:r w:rsidR="00385FDB" w:rsidRPr="00584929">
              <w:rPr>
                <w:rFonts w:ascii="Times New Roman" w:hAnsi="Times New Roman" w:cs="Times New Roman"/>
              </w:rPr>
              <w:t>Dodatkowo definicja danych prywatnych zostanie zmieniona poprzez jej doprecyzowanie w zakresie dot. danych osobowych. Za  dane prywatne nie będą uznawane dane osobowe.</w:t>
            </w:r>
          </w:p>
          <w:p w14:paraId="3C1ACB2D" w14:textId="57832D41" w:rsidR="00AB378C" w:rsidRPr="00584929" w:rsidRDefault="00385FDB" w:rsidP="00385FDB">
            <w:pPr>
              <w:jc w:val="both"/>
              <w:rPr>
                <w:rFonts w:ascii="Times New Roman" w:hAnsi="Times New Roman" w:cs="Times New Roman"/>
              </w:rPr>
            </w:pPr>
            <w:r w:rsidRPr="00584929">
              <w:rPr>
                <w:rFonts w:ascii="Times New Roman" w:hAnsi="Times New Roman" w:cs="Times New Roman"/>
              </w:rPr>
              <w:t xml:space="preserve">Zatem danymi prywatnymi będzie każda treści lub jej część będąca w posiadaniu podmiotu innego niż podmiot zobowiązany i przez niego wytworzona, z wyjątkiem danych osobowych. </w:t>
            </w:r>
            <w:r w:rsidR="00AB378C" w:rsidRPr="00584929">
              <w:rPr>
                <w:rFonts w:ascii="Times New Roman" w:hAnsi="Times New Roman" w:cs="Times New Roman"/>
              </w:rPr>
              <w:t>W szczególności będą to zasoby danych znajdujące się w posiadaniu przedsiębiorców, czy też organizacji pozarządowych.</w:t>
            </w:r>
            <w:r w:rsidRPr="00584929">
              <w:rPr>
                <w:rFonts w:ascii="Times New Roman" w:hAnsi="Times New Roman" w:cs="Times New Roman"/>
              </w:rPr>
              <w:t xml:space="preserve"> </w:t>
            </w:r>
            <w:r w:rsidR="00AB378C" w:rsidRPr="00584929">
              <w:rPr>
                <w:rFonts w:ascii="Times New Roman" w:hAnsi="Times New Roman" w:cs="Times New Roman"/>
              </w:rPr>
              <w:t xml:space="preserve">Sformułowanie definicji danych </w:t>
            </w:r>
            <w:r w:rsidR="00AB378C" w:rsidRPr="00584929">
              <w:rPr>
                <w:rFonts w:ascii="Times New Roman" w:hAnsi="Times New Roman" w:cs="Times New Roman"/>
              </w:rPr>
              <w:lastRenderedPageBreak/>
              <w:t xml:space="preserve">prywatnych </w:t>
            </w:r>
            <w:r w:rsidR="00486276" w:rsidRPr="00584929">
              <w:rPr>
                <w:rFonts w:ascii="Times New Roman" w:hAnsi="Times New Roman" w:cs="Times New Roman"/>
              </w:rPr>
              <w:t>należy wiązać z wprowadzeniem w </w:t>
            </w:r>
            <w:r w:rsidR="00AB378C" w:rsidRPr="00584929">
              <w:rPr>
                <w:rFonts w:ascii="Times New Roman" w:hAnsi="Times New Roman" w:cs="Times New Roman"/>
              </w:rPr>
              <w:t>projekcie ustawy możliwości dobrowolnego udostępniania na portalu dane.gov.pl zasobów informacji będących w posiadaniu podmiotów</w:t>
            </w:r>
            <w:r w:rsidRPr="00584929">
              <w:rPr>
                <w:rFonts w:ascii="Times New Roman" w:hAnsi="Times New Roman" w:cs="Times New Roman"/>
              </w:rPr>
              <w:t xml:space="preserve"> sektora prywatnego. </w:t>
            </w:r>
            <w:r w:rsidR="00CF01AC" w:rsidRPr="00584929">
              <w:rPr>
                <w:rFonts w:ascii="Times New Roman" w:hAnsi="Times New Roman" w:cs="Times New Roman"/>
              </w:rPr>
              <w:t>To do tych podmiotów będzie należała decyzja o udostępnianiu tego rodzaju danych do ponownego wykorzystywania na portalu dane.gov.pl.</w:t>
            </w:r>
          </w:p>
        </w:tc>
      </w:tr>
      <w:tr w:rsidR="00261460" w:rsidRPr="00584929" w14:paraId="1751B399" w14:textId="77777777" w:rsidTr="00D94ED7">
        <w:tc>
          <w:tcPr>
            <w:tcW w:w="676" w:type="dxa"/>
            <w:shd w:val="clear" w:color="auto" w:fill="auto"/>
          </w:tcPr>
          <w:p w14:paraId="6297EB41" w14:textId="460D44FF" w:rsidR="00261460" w:rsidRPr="00584929" w:rsidRDefault="00261460" w:rsidP="004A29FC">
            <w:pPr>
              <w:pStyle w:val="Akapitzlist"/>
              <w:numPr>
                <w:ilvl w:val="0"/>
                <w:numId w:val="20"/>
              </w:numPr>
              <w:rPr>
                <w:sz w:val="22"/>
                <w:szCs w:val="22"/>
              </w:rPr>
            </w:pPr>
          </w:p>
        </w:tc>
        <w:tc>
          <w:tcPr>
            <w:tcW w:w="1968" w:type="dxa"/>
            <w:shd w:val="clear" w:color="auto" w:fill="auto"/>
          </w:tcPr>
          <w:p w14:paraId="79291864" w14:textId="4EAF1709" w:rsidR="00261460" w:rsidRPr="00584929" w:rsidRDefault="00BB4608"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3899B73B" w14:textId="74211DC2" w:rsidR="00261460" w:rsidRPr="00584929" w:rsidRDefault="00BB4608" w:rsidP="004A29FC">
            <w:pPr>
              <w:rPr>
                <w:rFonts w:ascii="Times New Roman" w:hAnsi="Times New Roman" w:cs="Times New Roman"/>
              </w:rPr>
            </w:pPr>
            <w:r w:rsidRPr="00584929">
              <w:rPr>
                <w:rFonts w:ascii="Times New Roman" w:hAnsi="Times New Roman" w:cs="Times New Roman"/>
              </w:rPr>
              <w:t>Art. 2 pkt 6</w:t>
            </w:r>
          </w:p>
        </w:tc>
        <w:tc>
          <w:tcPr>
            <w:tcW w:w="5323" w:type="dxa"/>
            <w:shd w:val="clear" w:color="auto" w:fill="auto"/>
          </w:tcPr>
          <w:p w14:paraId="13FEE010" w14:textId="77777777" w:rsidR="00BB4608" w:rsidRPr="00584929" w:rsidRDefault="00BB4608" w:rsidP="00A9679C">
            <w:pPr>
              <w:jc w:val="both"/>
              <w:rPr>
                <w:rFonts w:ascii="Times New Roman" w:hAnsi="Times New Roman" w:cs="Times New Roman"/>
              </w:rPr>
            </w:pPr>
            <w:r w:rsidRPr="00584929">
              <w:rPr>
                <w:rFonts w:ascii="Times New Roman" w:hAnsi="Times New Roman" w:cs="Times New Roman"/>
              </w:rPr>
              <w:t>W art. 2 projektu ustawy zawierającym słowniczek pojęć następujące definicje wymagają doprecyzowania:</w:t>
            </w:r>
          </w:p>
          <w:p w14:paraId="7C17127E" w14:textId="60409316" w:rsidR="00BB4608" w:rsidRPr="00584929" w:rsidRDefault="00BB4608" w:rsidP="00A9679C">
            <w:pPr>
              <w:jc w:val="both"/>
              <w:rPr>
                <w:rFonts w:ascii="Times New Roman" w:hAnsi="Times New Roman" w:cs="Times New Roman"/>
              </w:rPr>
            </w:pPr>
            <w:r w:rsidRPr="00584929">
              <w:rPr>
                <w:rFonts w:ascii="Times New Roman" w:hAnsi="Times New Roman" w:cs="Times New Roman"/>
              </w:rPr>
              <w:t>art. 2 pkt 6: format otwarty – format pliku, który nie jest powiązany z platformą oraz jest udostępniany bez żadnych ograniczeń, które utrudniałyby ponowne wykorzystywanie – doprecyzowania wymaga, o jaką platformę chodzi w kontekście braku powiązania z nią formatu pliku.</w:t>
            </w:r>
          </w:p>
        </w:tc>
        <w:tc>
          <w:tcPr>
            <w:tcW w:w="4785" w:type="dxa"/>
            <w:shd w:val="clear" w:color="auto" w:fill="auto"/>
          </w:tcPr>
          <w:p w14:paraId="75717B65" w14:textId="35DB94D4" w:rsidR="00261460" w:rsidRPr="00584929" w:rsidRDefault="00BB4608" w:rsidP="00ED2ECA">
            <w:pPr>
              <w:rPr>
                <w:rFonts w:ascii="Times New Roman" w:hAnsi="Times New Roman" w:cs="Times New Roman"/>
                <w:b/>
              </w:rPr>
            </w:pPr>
            <w:r w:rsidRPr="00584929">
              <w:rPr>
                <w:rFonts w:ascii="Times New Roman" w:hAnsi="Times New Roman" w:cs="Times New Roman"/>
                <w:b/>
              </w:rPr>
              <w:t xml:space="preserve">Uwaga </w:t>
            </w:r>
            <w:r w:rsidR="00ED2ECA" w:rsidRPr="00584929">
              <w:rPr>
                <w:rFonts w:ascii="Times New Roman" w:hAnsi="Times New Roman" w:cs="Times New Roman"/>
                <w:b/>
              </w:rPr>
              <w:t>uwzglę</w:t>
            </w:r>
            <w:r w:rsidR="0048022A" w:rsidRPr="00584929">
              <w:rPr>
                <w:rFonts w:ascii="Times New Roman" w:hAnsi="Times New Roman" w:cs="Times New Roman"/>
                <w:b/>
              </w:rPr>
              <w:t>dniona</w:t>
            </w:r>
          </w:p>
          <w:p w14:paraId="7305D769" w14:textId="77777777" w:rsidR="0013408B" w:rsidRPr="00584929" w:rsidRDefault="00ED2ECA" w:rsidP="0013408B">
            <w:pPr>
              <w:jc w:val="both"/>
              <w:rPr>
                <w:rFonts w:ascii="Times New Roman" w:hAnsi="Times New Roman" w:cs="Times New Roman"/>
              </w:rPr>
            </w:pPr>
            <w:r w:rsidRPr="00584929">
              <w:rPr>
                <w:rFonts w:ascii="Times New Roman" w:hAnsi="Times New Roman" w:cs="Times New Roman"/>
              </w:rPr>
              <w:t xml:space="preserve">Przepis zostanie zmieniony. W definicji formatu otwartego słowo „platforma” zostanie zamienione na słowo „system”. </w:t>
            </w:r>
          </w:p>
          <w:p w14:paraId="4917CBC1" w14:textId="2FB2086A" w:rsidR="00ED2ECA" w:rsidRPr="00584929" w:rsidRDefault="0013408B" w:rsidP="0013408B">
            <w:pPr>
              <w:jc w:val="both"/>
              <w:rPr>
                <w:rFonts w:ascii="Times New Roman" w:hAnsi="Times New Roman" w:cs="Times New Roman"/>
              </w:rPr>
            </w:pPr>
            <w:r w:rsidRPr="00584929">
              <w:rPr>
                <w:rFonts w:ascii="Times New Roman" w:hAnsi="Times New Roman" w:cs="Times New Roman"/>
              </w:rPr>
              <w:t>Dodatkowo wyrażenie „nie jest powiązany z systemem” zostanie zastąpione wyrażeniem „jest niezależny od systemu”.  Druga zmiana związana jest z brzmieniem art. 2 pkt 14 dyrektywy 2019/1024/UE w innych wersjach językowych.</w:t>
            </w:r>
          </w:p>
          <w:p w14:paraId="0147C69D" w14:textId="70184A45" w:rsidR="0013408B" w:rsidRPr="00584929" w:rsidRDefault="0013408B" w:rsidP="0013408B">
            <w:pPr>
              <w:jc w:val="both"/>
              <w:rPr>
                <w:rFonts w:ascii="Times New Roman" w:hAnsi="Times New Roman" w:cs="Times New Roman"/>
                <w:lang w:val="en-GB"/>
              </w:rPr>
            </w:pPr>
            <w:r w:rsidRPr="00584929">
              <w:rPr>
                <w:rFonts w:ascii="Times New Roman" w:hAnsi="Times New Roman" w:cs="Times New Roman"/>
                <w:lang w:val="en-GB"/>
              </w:rPr>
              <w:t>Wersja angielska: “‘open  format’  means a  file  format  that  is  platform-independent (…)”.</w:t>
            </w:r>
          </w:p>
          <w:p w14:paraId="05BE1587" w14:textId="77777777" w:rsidR="0013408B" w:rsidRPr="00584929" w:rsidRDefault="0013408B" w:rsidP="0013408B">
            <w:pPr>
              <w:jc w:val="both"/>
              <w:rPr>
                <w:rFonts w:ascii="Times New Roman" w:hAnsi="Times New Roman" w:cs="Times New Roman"/>
              </w:rPr>
            </w:pPr>
            <w:r w:rsidRPr="00584929">
              <w:rPr>
                <w:rFonts w:ascii="Times New Roman" w:hAnsi="Times New Roman" w:cs="Times New Roman"/>
              </w:rPr>
              <w:t>Wersja niemiecka: “„offenes Format“ ein Dateiformat, das plattformunabhängig ist (…)”.</w:t>
            </w:r>
          </w:p>
          <w:p w14:paraId="1C2D7798" w14:textId="61991028" w:rsidR="00F618E4" w:rsidRPr="00584929" w:rsidRDefault="00F618E4" w:rsidP="0013408B">
            <w:pPr>
              <w:jc w:val="both"/>
              <w:rPr>
                <w:rFonts w:ascii="Times New Roman" w:hAnsi="Times New Roman" w:cs="Times New Roman"/>
              </w:rPr>
            </w:pPr>
            <w:r w:rsidRPr="00584929">
              <w:rPr>
                <w:rFonts w:ascii="Times New Roman" w:hAnsi="Times New Roman" w:cs="Times New Roman"/>
              </w:rPr>
              <w:t>Wersja polska: „„format otwarty” oznacza format pliku, który nie jest powiązany z platformą (…)”.</w:t>
            </w:r>
          </w:p>
        </w:tc>
      </w:tr>
      <w:tr w:rsidR="00261460" w:rsidRPr="00584929" w14:paraId="6CF34731" w14:textId="77777777" w:rsidTr="00D94ED7">
        <w:tc>
          <w:tcPr>
            <w:tcW w:w="676" w:type="dxa"/>
            <w:shd w:val="clear" w:color="auto" w:fill="auto"/>
          </w:tcPr>
          <w:p w14:paraId="1DA3624E" w14:textId="11C6EBA8" w:rsidR="00261460" w:rsidRPr="00584929" w:rsidRDefault="00261460" w:rsidP="004A29FC">
            <w:pPr>
              <w:pStyle w:val="Akapitzlist"/>
              <w:numPr>
                <w:ilvl w:val="0"/>
                <w:numId w:val="20"/>
              </w:numPr>
              <w:rPr>
                <w:sz w:val="22"/>
                <w:szCs w:val="22"/>
              </w:rPr>
            </w:pPr>
          </w:p>
        </w:tc>
        <w:tc>
          <w:tcPr>
            <w:tcW w:w="1968" w:type="dxa"/>
            <w:shd w:val="clear" w:color="auto" w:fill="auto"/>
          </w:tcPr>
          <w:p w14:paraId="1FFF192A" w14:textId="2857ACD4" w:rsidR="0044636B" w:rsidRPr="00584929" w:rsidRDefault="00BB4608" w:rsidP="004A29FC">
            <w:pPr>
              <w:rPr>
                <w:rFonts w:ascii="Times New Roman" w:hAnsi="Times New Roman" w:cs="Times New Roman"/>
              </w:rPr>
            </w:pPr>
            <w:r w:rsidRPr="00584929">
              <w:rPr>
                <w:rFonts w:ascii="Times New Roman" w:hAnsi="Times New Roman" w:cs="Times New Roman"/>
              </w:rPr>
              <w:t>Ministerstwo Spraw Wewnętrznych i Administracji</w:t>
            </w:r>
          </w:p>
        </w:tc>
        <w:tc>
          <w:tcPr>
            <w:tcW w:w="1526" w:type="dxa"/>
            <w:shd w:val="clear" w:color="auto" w:fill="auto"/>
          </w:tcPr>
          <w:p w14:paraId="18751708" w14:textId="7F4312EA" w:rsidR="00261460" w:rsidRPr="00584929" w:rsidRDefault="00BB4608" w:rsidP="004A29FC">
            <w:pPr>
              <w:rPr>
                <w:rFonts w:ascii="Times New Roman" w:hAnsi="Times New Roman" w:cs="Times New Roman"/>
              </w:rPr>
            </w:pPr>
            <w:r w:rsidRPr="00584929">
              <w:rPr>
                <w:rFonts w:ascii="Times New Roman" w:hAnsi="Times New Roman" w:cs="Times New Roman"/>
              </w:rPr>
              <w:t>Art. 2 pkt 6</w:t>
            </w:r>
          </w:p>
        </w:tc>
        <w:tc>
          <w:tcPr>
            <w:tcW w:w="5323" w:type="dxa"/>
            <w:shd w:val="clear" w:color="auto" w:fill="auto"/>
          </w:tcPr>
          <w:p w14:paraId="19EAB47A" w14:textId="77777777" w:rsidR="00261460" w:rsidRPr="00584929" w:rsidRDefault="00BB4608" w:rsidP="00A9679C">
            <w:pPr>
              <w:jc w:val="both"/>
              <w:rPr>
                <w:rFonts w:ascii="Times New Roman" w:hAnsi="Times New Roman" w:cs="Times New Roman"/>
              </w:rPr>
            </w:pPr>
            <w:r w:rsidRPr="00584929">
              <w:rPr>
                <w:rFonts w:ascii="Times New Roman" w:hAnsi="Times New Roman" w:cs="Times New Roman"/>
              </w:rPr>
              <w:t>W art. 2 pkt 6 zawarto definicję „formatu otwartego” definiując go jako „format pliku, który nie jest powiązany z platformą […]”. Projekt nie definiuje natomiast pojęcia platformy. Zasadnym byłoby uzupełnienie słowniczka o tę definicję.</w:t>
            </w:r>
          </w:p>
          <w:p w14:paraId="5F015F47" w14:textId="7793A847" w:rsidR="00BB4608" w:rsidRPr="00584929" w:rsidRDefault="00BB4608" w:rsidP="004A29FC">
            <w:pPr>
              <w:rPr>
                <w:rFonts w:ascii="Times New Roman" w:hAnsi="Times New Roman" w:cs="Times New Roman"/>
              </w:rPr>
            </w:pPr>
          </w:p>
        </w:tc>
        <w:tc>
          <w:tcPr>
            <w:tcW w:w="4785" w:type="dxa"/>
            <w:shd w:val="clear" w:color="auto" w:fill="auto"/>
          </w:tcPr>
          <w:p w14:paraId="69D46A7F" w14:textId="77777777" w:rsidR="00261460" w:rsidRPr="00584929" w:rsidRDefault="00BB4608" w:rsidP="0048022A">
            <w:pPr>
              <w:jc w:val="both"/>
              <w:rPr>
                <w:rFonts w:ascii="Times New Roman" w:hAnsi="Times New Roman" w:cs="Times New Roman"/>
                <w:b/>
              </w:rPr>
            </w:pPr>
            <w:r w:rsidRPr="00584929">
              <w:rPr>
                <w:rFonts w:ascii="Times New Roman" w:hAnsi="Times New Roman" w:cs="Times New Roman"/>
                <w:b/>
              </w:rPr>
              <w:t xml:space="preserve">Uwaga uwzględniona </w:t>
            </w:r>
          </w:p>
          <w:p w14:paraId="5EF472E7" w14:textId="77777777" w:rsidR="0048022A" w:rsidRPr="00584929" w:rsidRDefault="0048022A" w:rsidP="0048022A">
            <w:pPr>
              <w:jc w:val="both"/>
              <w:rPr>
                <w:rFonts w:ascii="Times New Roman" w:hAnsi="Times New Roman" w:cs="Times New Roman"/>
              </w:rPr>
            </w:pPr>
            <w:r w:rsidRPr="00584929">
              <w:rPr>
                <w:rFonts w:ascii="Times New Roman" w:hAnsi="Times New Roman" w:cs="Times New Roman"/>
              </w:rPr>
              <w:t xml:space="preserve">Przepis zostanie zmieniony. W definicji formatu otwartego słowo „platforma” zostanie zamienione na słowo „system”. </w:t>
            </w:r>
          </w:p>
          <w:p w14:paraId="62E900B3" w14:textId="77C1ED90" w:rsidR="0048022A" w:rsidRPr="00584929" w:rsidRDefault="0048022A" w:rsidP="0048022A">
            <w:pPr>
              <w:jc w:val="both"/>
              <w:rPr>
                <w:rFonts w:ascii="Times New Roman" w:hAnsi="Times New Roman" w:cs="Times New Roman"/>
              </w:rPr>
            </w:pPr>
            <w:r w:rsidRPr="00584929">
              <w:rPr>
                <w:rFonts w:ascii="Times New Roman" w:hAnsi="Times New Roman" w:cs="Times New Roman"/>
              </w:rPr>
              <w:t>Dodatkowo wyrażenie „nie jest powiązany z systemem” zostanie zastąpione wyrażeniem „jest niezależny od systemu”.  Druga zmiana związana jest z brzmieniem art. 2 pkt 14 dyrektywy 2019/1024/UE w innych wersjach językowych.</w:t>
            </w:r>
          </w:p>
          <w:p w14:paraId="1FCCCBBD" w14:textId="77777777" w:rsidR="0048022A" w:rsidRPr="00584929" w:rsidRDefault="0048022A" w:rsidP="0048022A">
            <w:pPr>
              <w:jc w:val="both"/>
              <w:rPr>
                <w:rFonts w:ascii="Times New Roman" w:hAnsi="Times New Roman" w:cs="Times New Roman"/>
                <w:lang w:val="en-GB"/>
              </w:rPr>
            </w:pPr>
            <w:r w:rsidRPr="00584929">
              <w:rPr>
                <w:rFonts w:ascii="Times New Roman" w:hAnsi="Times New Roman" w:cs="Times New Roman"/>
                <w:lang w:val="en-GB"/>
              </w:rPr>
              <w:t>Wersja angielska: “‘open  format’  means a  file  format  that  is  platform-independent (…)”.</w:t>
            </w:r>
          </w:p>
          <w:p w14:paraId="05DEB6DC" w14:textId="77777777" w:rsidR="0048022A" w:rsidRPr="00584929" w:rsidRDefault="0048022A" w:rsidP="0048022A">
            <w:pPr>
              <w:jc w:val="both"/>
              <w:rPr>
                <w:rFonts w:ascii="Times New Roman" w:hAnsi="Times New Roman" w:cs="Times New Roman"/>
              </w:rPr>
            </w:pPr>
            <w:r w:rsidRPr="00584929">
              <w:rPr>
                <w:rFonts w:ascii="Times New Roman" w:hAnsi="Times New Roman" w:cs="Times New Roman"/>
              </w:rPr>
              <w:lastRenderedPageBreak/>
              <w:t>Wersja niemiecka: “„offenes Format“ ein Dateiformat, das plattformunabhängig ist (…)”.</w:t>
            </w:r>
          </w:p>
          <w:p w14:paraId="52B10AAC" w14:textId="31EDAACC" w:rsidR="00F618E4" w:rsidRPr="00584929" w:rsidRDefault="00F618E4" w:rsidP="0048022A">
            <w:pPr>
              <w:jc w:val="both"/>
              <w:rPr>
                <w:rFonts w:ascii="Times New Roman" w:hAnsi="Times New Roman" w:cs="Times New Roman"/>
              </w:rPr>
            </w:pPr>
            <w:r w:rsidRPr="00584929">
              <w:rPr>
                <w:rFonts w:ascii="Times New Roman" w:hAnsi="Times New Roman" w:cs="Times New Roman"/>
              </w:rPr>
              <w:t>Wersja polska: „„format otwarty” oznacza format pliku, który nie jest powiązany z platformą (…)”.</w:t>
            </w:r>
          </w:p>
        </w:tc>
      </w:tr>
      <w:tr w:rsidR="00261460" w:rsidRPr="00584929" w14:paraId="4635060A" w14:textId="77777777" w:rsidTr="00D94ED7">
        <w:tc>
          <w:tcPr>
            <w:tcW w:w="676" w:type="dxa"/>
            <w:shd w:val="clear" w:color="auto" w:fill="auto"/>
          </w:tcPr>
          <w:p w14:paraId="46BC2E35" w14:textId="228FFA51" w:rsidR="00261460" w:rsidRPr="00584929" w:rsidRDefault="00261460" w:rsidP="004A29FC">
            <w:pPr>
              <w:pStyle w:val="Akapitzlist"/>
              <w:numPr>
                <w:ilvl w:val="0"/>
                <w:numId w:val="20"/>
              </w:numPr>
              <w:rPr>
                <w:sz w:val="22"/>
                <w:szCs w:val="22"/>
              </w:rPr>
            </w:pPr>
          </w:p>
        </w:tc>
        <w:tc>
          <w:tcPr>
            <w:tcW w:w="1968" w:type="dxa"/>
            <w:shd w:val="clear" w:color="auto" w:fill="auto"/>
          </w:tcPr>
          <w:p w14:paraId="3C4582AB" w14:textId="4D0BB151" w:rsidR="00261460" w:rsidRPr="00584929" w:rsidRDefault="00893992"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51B2A4AD" w14:textId="3C158BF8" w:rsidR="00261460" w:rsidRPr="00584929" w:rsidRDefault="00893992" w:rsidP="004A29FC">
            <w:pPr>
              <w:rPr>
                <w:rFonts w:ascii="Times New Roman" w:hAnsi="Times New Roman" w:cs="Times New Roman"/>
              </w:rPr>
            </w:pPr>
            <w:r w:rsidRPr="00584929">
              <w:rPr>
                <w:rFonts w:ascii="Times New Roman" w:hAnsi="Times New Roman" w:cs="Times New Roman"/>
              </w:rPr>
              <w:t>Art. 2 pkt 7</w:t>
            </w:r>
          </w:p>
        </w:tc>
        <w:tc>
          <w:tcPr>
            <w:tcW w:w="5323" w:type="dxa"/>
            <w:shd w:val="clear" w:color="auto" w:fill="auto"/>
          </w:tcPr>
          <w:p w14:paraId="380ECF27" w14:textId="77777777" w:rsidR="00893992" w:rsidRPr="00584929" w:rsidRDefault="00893992" w:rsidP="00A9679C">
            <w:pPr>
              <w:jc w:val="both"/>
              <w:rPr>
                <w:rFonts w:ascii="Times New Roman" w:hAnsi="Times New Roman" w:cs="Times New Roman"/>
              </w:rPr>
            </w:pPr>
            <w:r w:rsidRPr="00584929">
              <w:rPr>
                <w:rFonts w:ascii="Times New Roman" w:hAnsi="Times New Roman" w:cs="Times New Roman"/>
              </w:rPr>
              <w:t>W art. 2 projektu ustawy zawierającym słowniczek pojęć następujące definicje wymagają doprecyzowania:</w:t>
            </w:r>
          </w:p>
          <w:p w14:paraId="4D64506C" w14:textId="19FAFB13" w:rsidR="00261460" w:rsidRPr="00584929" w:rsidRDefault="00893992" w:rsidP="007F41F8">
            <w:pPr>
              <w:jc w:val="both"/>
              <w:rPr>
                <w:rFonts w:ascii="Times New Roman" w:hAnsi="Times New Roman" w:cs="Times New Roman"/>
              </w:rPr>
            </w:pPr>
            <w:r w:rsidRPr="00584929">
              <w:rPr>
                <w:rFonts w:ascii="Times New Roman" w:hAnsi="Times New Roman" w:cs="Times New Roman"/>
              </w:rPr>
              <w:t>art. 2 pkt 7: format przeznaczon</w:t>
            </w:r>
            <w:r w:rsidR="007F41F8" w:rsidRPr="00584929">
              <w:rPr>
                <w:rFonts w:ascii="Times New Roman" w:hAnsi="Times New Roman" w:cs="Times New Roman"/>
              </w:rPr>
              <w:t>y</w:t>
            </w:r>
            <w:r w:rsidRPr="00584929">
              <w:rPr>
                <w:rFonts w:ascii="Times New Roman" w:hAnsi="Times New Roman" w:cs="Times New Roman"/>
              </w:rPr>
              <w:t xml:space="preserve"> do odczytu maszynowego – format pliku ustrukturyzowany tak, aby programy komputerowe mogły łatwo zidentyfikować, rozpoznać i pozyskać określone dane i ich wewnętrzną strukturę - w definicji nie został wskazany stopień (poziom) ustrukturyzowania, odwołano się do subiektywnego znamienia łatwego identyfikowania, rozpoznania i pozyskania, co pozwala zaliczyć do tej kategorii formatu także pliki plain tekst (bez szc</w:t>
            </w:r>
            <w:r w:rsidR="00FA44BF" w:rsidRPr="00584929">
              <w:rPr>
                <w:rFonts w:ascii="Times New Roman" w:hAnsi="Times New Roman" w:cs="Times New Roman"/>
              </w:rPr>
              <w:t>zegółowo określonej struktury).</w:t>
            </w:r>
          </w:p>
        </w:tc>
        <w:tc>
          <w:tcPr>
            <w:tcW w:w="4785" w:type="dxa"/>
            <w:shd w:val="clear" w:color="auto" w:fill="auto"/>
          </w:tcPr>
          <w:p w14:paraId="6DC9675D" w14:textId="77777777" w:rsidR="00261460" w:rsidRPr="00584929" w:rsidRDefault="00893992" w:rsidP="004A29FC">
            <w:pPr>
              <w:rPr>
                <w:rFonts w:ascii="Times New Roman" w:hAnsi="Times New Roman" w:cs="Times New Roman"/>
                <w:b/>
              </w:rPr>
            </w:pPr>
            <w:r w:rsidRPr="00584929">
              <w:rPr>
                <w:rFonts w:ascii="Times New Roman" w:hAnsi="Times New Roman" w:cs="Times New Roman"/>
                <w:b/>
              </w:rPr>
              <w:t>Uwaga nieuwzględniona</w:t>
            </w:r>
          </w:p>
          <w:p w14:paraId="556185F3" w14:textId="71654144" w:rsidR="007C0AEB" w:rsidRPr="00584929" w:rsidRDefault="007C0AEB" w:rsidP="007C0AEB">
            <w:pPr>
              <w:jc w:val="both"/>
              <w:rPr>
                <w:rFonts w:ascii="Times New Roman" w:hAnsi="Times New Roman" w:cs="Times New Roman"/>
              </w:rPr>
            </w:pPr>
            <w:r w:rsidRPr="00584929">
              <w:rPr>
                <w:rFonts w:ascii="Times New Roman" w:hAnsi="Times New Roman" w:cs="Times New Roman"/>
              </w:rPr>
              <w:t xml:space="preserve">Art. 2 pkt 7 projektu ustawy stanowi implementację art. 2 pkt 13 dyrektywy 2019/1024/UE, zgodnie z którym format nadający się do odczytu maszynowego oznacza format pliku ustrukturyzowany tak, aby aplikacje mogły łatwo zidentyfikować,  rozpoznać i  pozyskać określone dane,  w  tym  poszczególne stwierdzenia faktów,  i  ich wewnętrzną strukturę. </w:t>
            </w:r>
          </w:p>
          <w:p w14:paraId="6B652CC3" w14:textId="77777777" w:rsidR="007C0AEB" w:rsidRPr="00584929" w:rsidRDefault="007C0AEB" w:rsidP="007C0AEB">
            <w:pPr>
              <w:jc w:val="both"/>
              <w:rPr>
                <w:rFonts w:ascii="Times New Roman" w:hAnsi="Times New Roman" w:cs="Times New Roman"/>
              </w:rPr>
            </w:pPr>
            <w:r w:rsidRPr="00584929">
              <w:rPr>
                <w:rFonts w:ascii="Times New Roman" w:hAnsi="Times New Roman" w:cs="Times New Roman"/>
              </w:rPr>
              <w:t>Dane odczytywalne maszynowe to dane udostępniane w formatach umożliwiających automatyczne odczytywanie przez przeglądarkę lub system komputerowy, tj. w formatach ułatwiających dostęp i pozwalających na bardziej zaawansowane analizy dużych ilości informacji (np. formaty XML, JSON, RDF, CSV).</w:t>
            </w:r>
          </w:p>
          <w:p w14:paraId="571A73B2" w14:textId="6528FB5F" w:rsidR="007C0AEB" w:rsidRPr="00584929" w:rsidRDefault="007C0AEB" w:rsidP="007C0AEB">
            <w:pPr>
              <w:jc w:val="both"/>
              <w:rPr>
                <w:rFonts w:ascii="Times New Roman" w:hAnsi="Times New Roman" w:cs="Times New Roman"/>
              </w:rPr>
            </w:pPr>
            <w:r w:rsidRPr="00584929">
              <w:rPr>
                <w:rFonts w:ascii="Times New Roman" w:hAnsi="Times New Roman" w:cs="Times New Roman"/>
              </w:rPr>
              <w:t>Dodatkowe precyzowanie definicji w zakresie stopnia (poziomu) ustrukturyzowana nie jest konieczne. Zgodnie z przyjętym na gruncie dyrektywy rozumieniem pojęcia formatu nadającego się do odczytu maszynowego, jest to plik ustrukturyzowany, tak by możliwy był jego automatyczny odczyt.</w:t>
            </w:r>
          </w:p>
          <w:p w14:paraId="1C6E1554" w14:textId="21EBB332" w:rsidR="007C0AEB" w:rsidRPr="00584929" w:rsidRDefault="007C0AEB" w:rsidP="00002ADB">
            <w:pPr>
              <w:jc w:val="both"/>
              <w:rPr>
                <w:rFonts w:ascii="Times New Roman" w:hAnsi="Times New Roman" w:cs="Times New Roman"/>
              </w:rPr>
            </w:pPr>
            <w:r w:rsidRPr="00584929">
              <w:rPr>
                <w:rFonts w:ascii="Times New Roman" w:hAnsi="Times New Roman" w:cs="Times New Roman"/>
              </w:rPr>
              <w:t>Jednocześnie definicja zostanie zmieniona w inny sposób poprzez dodanie na końcu przepis</w:t>
            </w:r>
            <w:r w:rsidR="00002ADB" w:rsidRPr="00584929">
              <w:rPr>
                <w:rFonts w:ascii="Times New Roman" w:hAnsi="Times New Roman" w:cs="Times New Roman"/>
              </w:rPr>
              <w:t>u wyrażenia</w:t>
            </w:r>
            <w:r w:rsidRPr="00584929">
              <w:rPr>
                <w:rFonts w:ascii="Times New Roman" w:hAnsi="Times New Roman" w:cs="Times New Roman"/>
              </w:rPr>
              <w:t xml:space="preserve"> </w:t>
            </w:r>
            <w:r w:rsidR="00002ADB" w:rsidRPr="00584929">
              <w:rPr>
                <w:rFonts w:ascii="Times New Roman" w:hAnsi="Times New Roman" w:cs="Times New Roman"/>
              </w:rPr>
              <w:t>„</w:t>
            </w:r>
            <w:r w:rsidRPr="00584929">
              <w:rPr>
                <w:rFonts w:ascii="Times New Roman" w:hAnsi="Times New Roman" w:cs="Times New Roman"/>
              </w:rPr>
              <w:t>bez utraty ich semantycznej interoperacyjności</w:t>
            </w:r>
            <w:r w:rsidR="00002ADB" w:rsidRPr="00584929">
              <w:rPr>
                <w:rFonts w:ascii="Times New Roman" w:hAnsi="Times New Roman" w:cs="Times New Roman"/>
              </w:rPr>
              <w:t>”</w:t>
            </w:r>
            <w:r w:rsidRPr="00584929">
              <w:rPr>
                <w:rFonts w:ascii="Times New Roman" w:hAnsi="Times New Roman" w:cs="Times New Roman"/>
              </w:rPr>
              <w:t xml:space="preserve"> (zgodnie z propozycją Platformy Otwartej Nauki ICMMiK UW).</w:t>
            </w:r>
          </w:p>
        </w:tc>
      </w:tr>
      <w:tr w:rsidR="00261460" w:rsidRPr="00584929" w14:paraId="1A40F7F9" w14:textId="77777777" w:rsidTr="00D94ED7">
        <w:tc>
          <w:tcPr>
            <w:tcW w:w="676" w:type="dxa"/>
            <w:shd w:val="clear" w:color="auto" w:fill="auto"/>
          </w:tcPr>
          <w:p w14:paraId="0CE4ABF2" w14:textId="1B22CEBA" w:rsidR="00261460" w:rsidRPr="00584929" w:rsidRDefault="00261460" w:rsidP="004A29FC">
            <w:pPr>
              <w:pStyle w:val="Akapitzlist"/>
              <w:numPr>
                <w:ilvl w:val="0"/>
                <w:numId w:val="20"/>
              </w:numPr>
              <w:rPr>
                <w:sz w:val="22"/>
                <w:szCs w:val="22"/>
              </w:rPr>
            </w:pPr>
          </w:p>
        </w:tc>
        <w:tc>
          <w:tcPr>
            <w:tcW w:w="1968" w:type="dxa"/>
            <w:shd w:val="clear" w:color="auto" w:fill="auto"/>
          </w:tcPr>
          <w:p w14:paraId="3BA52A9F" w14:textId="00C92BCA" w:rsidR="00261460" w:rsidRPr="00584929" w:rsidRDefault="00A11045"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4A60E915" w14:textId="4CD3D06F" w:rsidR="00261460" w:rsidRPr="00584929" w:rsidRDefault="00A11045" w:rsidP="004A29FC">
            <w:pPr>
              <w:rPr>
                <w:rFonts w:ascii="Times New Roman" w:hAnsi="Times New Roman" w:cs="Times New Roman"/>
              </w:rPr>
            </w:pPr>
            <w:r w:rsidRPr="00584929">
              <w:rPr>
                <w:rFonts w:ascii="Times New Roman" w:hAnsi="Times New Roman" w:cs="Times New Roman"/>
              </w:rPr>
              <w:t>Art. 2 pkt 8</w:t>
            </w:r>
          </w:p>
        </w:tc>
        <w:tc>
          <w:tcPr>
            <w:tcW w:w="5323" w:type="dxa"/>
            <w:shd w:val="clear" w:color="auto" w:fill="auto"/>
          </w:tcPr>
          <w:p w14:paraId="213B374A" w14:textId="77777777" w:rsidR="00A11045" w:rsidRPr="00584929" w:rsidRDefault="00A11045" w:rsidP="00A9679C">
            <w:pPr>
              <w:jc w:val="both"/>
              <w:rPr>
                <w:rFonts w:ascii="Times New Roman" w:hAnsi="Times New Roman" w:cs="Times New Roman"/>
              </w:rPr>
            </w:pPr>
            <w:r w:rsidRPr="00584929">
              <w:rPr>
                <w:rFonts w:ascii="Times New Roman" w:hAnsi="Times New Roman" w:cs="Times New Roman"/>
              </w:rPr>
              <w:t>W art. 2 projektu ustawy zawierającym słowniczek pojęć następujące definicje wymagają doprecyzowania:</w:t>
            </w:r>
          </w:p>
          <w:p w14:paraId="02DAA3DF" w14:textId="0C921866" w:rsidR="00A11045" w:rsidRPr="00584929" w:rsidRDefault="00A11045" w:rsidP="00A9679C">
            <w:pPr>
              <w:jc w:val="both"/>
              <w:rPr>
                <w:rFonts w:ascii="Times New Roman" w:hAnsi="Times New Roman" w:cs="Times New Roman"/>
              </w:rPr>
            </w:pPr>
            <w:r w:rsidRPr="00584929">
              <w:rPr>
                <w:rFonts w:ascii="Times New Roman" w:hAnsi="Times New Roman" w:cs="Times New Roman"/>
              </w:rPr>
              <w:lastRenderedPageBreak/>
              <w:t>art. 2 pkt 8: informacja sektora publicznego – każda treść lub jej część, nieza</w:t>
            </w:r>
            <w:r w:rsidR="00DD502F" w:rsidRPr="00584929">
              <w:rPr>
                <w:rFonts w:ascii="Times New Roman" w:hAnsi="Times New Roman" w:cs="Times New Roman"/>
              </w:rPr>
              <w:t>leżnie od sposobu utrwalenia, w </w:t>
            </w:r>
            <w:r w:rsidRPr="00584929">
              <w:rPr>
                <w:rFonts w:ascii="Times New Roman" w:hAnsi="Times New Roman" w:cs="Times New Roman"/>
              </w:rPr>
              <w:t>szczególności w postaci papierowej, elektronicznej, dźwiękowej, wizualn</w:t>
            </w:r>
            <w:r w:rsidR="00DD502F" w:rsidRPr="00584929">
              <w:rPr>
                <w:rFonts w:ascii="Times New Roman" w:hAnsi="Times New Roman" w:cs="Times New Roman"/>
              </w:rPr>
              <w:t>ej lub audiowizualnej, będącą w </w:t>
            </w:r>
            <w:r w:rsidRPr="00584929">
              <w:rPr>
                <w:rFonts w:ascii="Times New Roman" w:hAnsi="Times New Roman" w:cs="Times New Roman"/>
              </w:rPr>
              <w:t>posiadaniu podmiotu zobowiązanego – wątpliwości budzi, czym jest „treść”, do której odwołuje się definicja w kontekście treści lub jej części.</w:t>
            </w:r>
          </w:p>
        </w:tc>
        <w:tc>
          <w:tcPr>
            <w:tcW w:w="4785" w:type="dxa"/>
            <w:shd w:val="clear" w:color="auto" w:fill="auto"/>
          </w:tcPr>
          <w:p w14:paraId="3A4B6DFB" w14:textId="77777777" w:rsidR="00261460" w:rsidRPr="00584929" w:rsidRDefault="00A11045" w:rsidP="004A29FC">
            <w:pPr>
              <w:rPr>
                <w:rFonts w:ascii="Times New Roman" w:hAnsi="Times New Roman" w:cs="Times New Roman"/>
                <w:b/>
              </w:rPr>
            </w:pPr>
            <w:r w:rsidRPr="00584929">
              <w:rPr>
                <w:rFonts w:ascii="Times New Roman" w:hAnsi="Times New Roman" w:cs="Times New Roman"/>
                <w:b/>
              </w:rPr>
              <w:lastRenderedPageBreak/>
              <w:t>Uwaga nieuwzględniona</w:t>
            </w:r>
          </w:p>
          <w:p w14:paraId="18CD624E" w14:textId="0CBC474F" w:rsidR="00E72006" w:rsidRPr="00584929" w:rsidRDefault="00B11A77" w:rsidP="00B379EE">
            <w:pPr>
              <w:jc w:val="both"/>
              <w:rPr>
                <w:rFonts w:ascii="Times New Roman" w:hAnsi="Times New Roman" w:cs="Times New Roman"/>
                <w:b/>
              </w:rPr>
            </w:pPr>
            <w:r w:rsidRPr="00584929">
              <w:rPr>
                <w:rFonts w:ascii="Times New Roman" w:hAnsi="Times New Roman" w:cs="Times New Roman"/>
              </w:rPr>
              <w:t xml:space="preserve">Definicja ISP wprowadzona w projekcie ustawy jest tożsama z tą przyjętą na gruncie ustawy z 2016 r. </w:t>
            </w:r>
            <w:r w:rsidRPr="00584929">
              <w:rPr>
                <w:rFonts w:ascii="Times New Roman" w:hAnsi="Times New Roman" w:cs="Times New Roman"/>
              </w:rPr>
              <w:lastRenderedPageBreak/>
              <w:t xml:space="preserve">i jest już ugruntowana w doktrynie oraz </w:t>
            </w:r>
            <w:r w:rsidR="00B379EE" w:rsidRPr="00584929">
              <w:rPr>
                <w:rFonts w:ascii="Times New Roman" w:hAnsi="Times New Roman" w:cs="Times New Roman"/>
              </w:rPr>
              <w:t>w </w:t>
            </w:r>
            <w:r w:rsidRPr="00584929">
              <w:rPr>
                <w:rFonts w:ascii="Times New Roman" w:hAnsi="Times New Roman" w:cs="Times New Roman"/>
              </w:rPr>
              <w:t>orzecznictwem sądowym. Pojęcie to należy odnieść do definicji „dokumentu” w rozumien</w:t>
            </w:r>
            <w:r w:rsidR="00B379EE" w:rsidRPr="00584929">
              <w:rPr>
                <w:rFonts w:ascii="Times New Roman" w:hAnsi="Times New Roman" w:cs="Times New Roman"/>
              </w:rPr>
              <w:t>iu art. </w:t>
            </w:r>
            <w:r w:rsidRPr="00584929">
              <w:rPr>
                <w:rFonts w:ascii="Times New Roman" w:hAnsi="Times New Roman" w:cs="Times New Roman"/>
              </w:rPr>
              <w:t>2 pkt 6 dy</w:t>
            </w:r>
            <w:r w:rsidR="00B379EE" w:rsidRPr="00584929">
              <w:rPr>
                <w:rFonts w:ascii="Times New Roman" w:hAnsi="Times New Roman" w:cs="Times New Roman"/>
              </w:rPr>
              <w:t>rektywy 2019/1024/UE zgodnie, z </w:t>
            </w:r>
            <w:r w:rsidRPr="00584929">
              <w:rPr>
                <w:rFonts w:ascii="Times New Roman" w:hAnsi="Times New Roman" w:cs="Times New Roman"/>
              </w:rPr>
              <w:t>którym dokument oznacza dowolną treść lub jej część niezależnie od jej nośnika (papier lub forma elektroniczna lub zapis dźwiękowy, wizualny bądź audiowizualny). Treść, do której odwołuje się definicja ISP to wszystko to co znajduje się posiadaniu podmiotu zobowiązanego (niezależnie od sposobu utrwalenia). Pojęcie ISP wyznacza zakres przedmiotowy ponownego wykorzystywania. Dla zakwalifikowania określonej informacji jako ISP nie ma znaczenia jej treść. Istotne jest natomiast jej utrwalenie oraz fakt posiadania przez podmioty udostępniające lub przekazujące ją w celu ponownego wykorzystywania.</w:t>
            </w:r>
          </w:p>
        </w:tc>
      </w:tr>
      <w:tr w:rsidR="00261460" w:rsidRPr="00584929" w14:paraId="26493134" w14:textId="77777777" w:rsidTr="00D94ED7">
        <w:tc>
          <w:tcPr>
            <w:tcW w:w="676" w:type="dxa"/>
            <w:shd w:val="clear" w:color="auto" w:fill="auto"/>
          </w:tcPr>
          <w:p w14:paraId="79C481C9" w14:textId="21616AB2" w:rsidR="00261460" w:rsidRPr="00584929" w:rsidRDefault="00261460" w:rsidP="004A29FC">
            <w:pPr>
              <w:pStyle w:val="Akapitzlist"/>
              <w:numPr>
                <w:ilvl w:val="0"/>
                <w:numId w:val="20"/>
              </w:numPr>
              <w:rPr>
                <w:sz w:val="22"/>
                <w:szCs w:val="22"/>
              </w:rPr>
            </w:pPr>
          </w:p>
        </w:tc>
        <w:tc>
          <w:tcPr>
            <w:tcW w:w="1968" w:type="dxa"/>
            <w:shd w:val="clear" w:color="auto" w:fill="auto"/>
          </w:tcPr>
          <w:p w14:paraId="02B3EEE4" w14:textId="5D9F01D7" w:rsidR="00261460" w:rsidRPr="00584929" w:rsidRDefault="00A11045" w:rsidP="004A29FC">
            <w:pPr>
              <w:rPr>
                <w:rFonts w:ascii="Times New Roman" w:hAnsi="Times New Roman" w:cs="Times New Roman"/>
              </w:rPr>
            </w:pPr>
            <w:r w:rsidRPr="00584929">
              <w:rPr>
                <w:rFonts w:ascii="Times New Roman" w:hAnsi="Times New Roman" w:cs="Times New Roman"/>
              </w:rPr>
              <w:t>Ministerstwo Funduszy i Polityki Regionalnej</w:t>
            </w:r>
          </w:p>
        </w:tc>
        <w:tc>
          <w:tcPr>
            <w:tcW w:w="1526" w:type="dxa"/>
            <w:shd w:val="clear" w:color="auto" w:fill="auto"/>
          </w:tcPr>
          <w:p w14:paraId="4BE03F79" w14:textId="4FA6560A" w:rsidR="00261460" w:rsidRPr="00584929" w:rsidRDefault="00A11045" w:rsidP="004A29FC">
            <w:pPr>
              <w:rPr>
                <w:rFonts w:ascii="Times New Roman" w:hAnsi="Times New Roman" w:cs="Times New Roman"/>
              </w:rPr>
            </w:pPr>
            <w:r w:rsidRPr="00584929">
              <w:rPr>
                <w:rFonts w:ascii="Times New Roman" w:hAnsi="Times New Roman" w:cs="Times New Roman"/>
              </w:rPr>
              <w:t>Art. 2 pkt 8</w:t>
            </w:r>
          </w:p>
        </w:tc>
        <w:tc>
          <w:tcPr>
            <w:tcW w:w="5323" w:type="dxa"/>
            <w:shd w:val="clear" w:color="auto" w:fill="auto"/>
          </w:tcPr>
          <w:p w14:paraId="74EFE9F6" w14:textId="725C00B0" w:rsidR="00A11045" w:rsidRPr="00584929" w:rsidRDefault="00A11045" w:rsidP="00A9679C">
            <w:pPr>
              <w:jc w:val="both"/>
              <w:rPr>
                <w:rFonts w:ascii="Times New Roman" w:hAnsi="Times New Roman" w:cs="Times New Roman"/>
              </w:rPr>
            </w:pPr>
            <w:r w:rsidRPr="00584929">
              <w:rPr>
                <w:rFonts w:ascii="Times New Roman" w:hAnsi="Times New Roman" w:cs="Times New Roman"/>
              </w:rPr>
              <w:t>Zgodnie z definicją przyjętą w projekcie ustawy „informacją sektora publicznego” jest każda informacja będąca w posiadaniu instytucji zobowiązanej. Jedynym ograniczeniem ponownego wykorzystania tej informacji są ograniczenia przewidziane w ustawach (np. tajemnice). Postulujemy, aby pojęcie „informacja sektora publicznego” zastąpić funkcjonującym już pojęciem „informacji publicznej” lub zawęzić definicję ISP. A tym samym, przyjęcie w ustawie rozwiązania gwarantującego bezpieczeństwo podmiotom oraz przedsięwzięciom biznesowym, których informacja dotyczy oraz pewność prawną instytucjom o</w:t>
            </w:r>
            <w:r w:rsidR="003E0A3A" w:rsidRPr="00584929">
              <w:rPr>
                <w:rFonts w:ascii="Times New Roman" w:hAnsi="Times New Roman" w:cs="Times New Roman"/>
              </w:rPr>
              <w:t>dpowiedzialnym za zarządzanie i </w:t>
            </w:r>
            <w:r w:rsidRPr="00584929">
              <w:rPr>
                <w:rFonts w:ascii="Times New Roman" w:hAnsi="Times New Roman" w:cs="Times New Roman"/>
              </w:rPr>
              <w:t>administrowanie informacją, które polegałoby na określaniu katalogu informacji podlegających udostępnieniu do ponownego wykorzystania, analogicznie do założeń funkcjonującego już Programu Otwierania Danych Publicznych.</w:t>
            </w:r>
          </w:p>
        </w:tc>
        <w:tc>
          <w:tcPr>
            <w:tcW w:w="4785" w:type="dxa"/>
            <w:shd w:val="clear" w:color="auto" w:fill="auto"/>
          </w:tcPr>
          <w:p w14:paraId="19819CC2" w14:textId="77777777" w:rsidR="00261460" w:rsidRPr="00584929" w:rsidRDefault="00FA3FA1" w:rsidP="004A29FC">
            <w:pPr>
              <w:rPr>
                <w:rFonts w:ascii="Times New Roman" w:hAnsi="Times New Roman" w:cs="Times New Roman"/>
                <w:b/>
              </w:rPr>
            </w:pPr>
            <w:r w:rsidRPr="00584929">
              <w:rPr>
                <w:rFonts w:ascii="Times New Roman" w:hAnsi="Times New Roman" w:cs="Times New Roman"/>
                <w:b/>
              </w:rPr>
              <w:t>Uwaga nieuwzględniona</w:t>
            </w:r>
          </w:p>
          <w:p w14:paraId="08537660" w14:textId="19232409" w:rsidR="003E0A3A" w:rsidRPr="00584929" w:rsidRDefault="003E0A3A" w:rsidP="003E0A3A">
            <w:pPr>
              <w:jc w:val="both"/>
              <w:rPr>
                <w:rFonts w:ascii="Times New Roman" w:hAnsi="Times New Roman" w:cs="Times New Roman"/>
              </w:rPr>
            </w:pPr>
            <w:r w:rsidRPr="00584929">
              <w:rPr>
                <w:rFonts w:ascii="Times New Roman" w:hAnsi="Times New Roman" w:cs="Times New Roman"/>
              </w:rPr>
              <w:t>Definicja ISP wprowadzona w projekcie ustawy jest tożsama z tą przyjętą na gruncie ustawy z 2016 r. i jest już ugruntowana w doktrynie oraz w orzecznictwem sądowym. Pojęcie to należy odnieść do definicj</w:t>
            </w:r>
            <w:r w:rsidR="00904C85" w:rsidRPr="00584929">
              <w:rPr>
                <w:rFonts w:ascii="Times New Roman" w:hAnsi="Times New Roman" w:cs="Times New Roman"/>
              </w:rPr>
              <w:t>i „dokumentu” w rozumieniu art. </w:t>
            </w:r>
            <w:r w:rsidRPr="00584929">
              <w:rPr>
                <w:rFonts w:ascii="Times New Roman" w:hAnsi="Times New Roman" w:cs="Times New Roman"/>
              </w:rPr>
              <w:t>2 pkt 6 dy</w:t>
            </w:r>
            <w:r w:rsidR="00904C85" w:rsidRPr="00584929">
              <w:rPr>
                <w:rFonts w:ascii="Times New Roman" w:hAnsi="Times New Roman" w:cs="Times New Roman"/>
              </w:rPr>
              <w:t>rektywy 2019/1024/UE zgodnie, z </w:t>
            </w:r>
            <w:r w:rsidRPr="00584929">
              <w:rPr>
                <w:rFonts w:ascii="Times New Roman" w:hAnsi="Times New Roman" w:cs="Times New Roman"/>
              </w:rPr>
              <w:t>którym dokument oznacza dowolną treść lub jej część niezależnie od jej nośnika (papier lub forma elektroniczna lub zapis dźwiękowy, wizualny bądź audiowizualny). Treść, do której odwołuje się definicja ISP to wszystko to co znajduje się posiadaniu podmiotu zobowiązanego (niezależnie od sposobu utrwalenia). Pojęcie ISP wyznacza zakres przedmiotowy ponownego wykorzystywania. Dla zakwalifikowania określonej informacji jako ISP nie ma znaczenia jej treść</w:t>
            </w:r>
            <w:r w:rsidR="00F64C36" w:rsidRPr="00584929">
              <w:rPr>
                <w:rFonts w:ascii="Times New Roman" w:hAnsi="Times New Roman" w:cs="Times New Roman"/>
              </w:rPr>
              <w:t xml:space="preserve">. </w:t>
            </w:r>
            <w:r w:rsidRPr="00584929">
              <w:rPr>
                <w:rFonts w:ascii="Times New Roman" w:hAnsi="Times New Roman" w:cs="Times New Roman"/>
              </w:rPr>
              <w:lastRenderedPageBreak/>
              <w:t>Istotne jest natomiast jej utrwalenie oraz fakt posiadania przez podmioty udostępniające lub przekazujące ją w celu ponownego wykorzystywania.</w:t>
            </w:r>
          </w:p>
          <w:p w14:paraId="32EF6D84" w14:textId="4494085B" w:rsidR="003E0A3A" w:rsidRPr="00584929" w:rsidRDefault="003E0A3A" w:rsidP="003969B2">
            <w:pPr>
              <w:jc w:val="both"/>
              <w:rPr>
                <w:rFonts w:ascii="Times New Roman" w:hAnsi="Times New Roman" w:cs="Times New Roman"/>
              </w:rPr>
            </w:pPr>
            <w:r w:rsidRPr="00584929">
              <w:rPr>
                <w:rFonts w:ascii="Times New Roman" w:hAnsi="Times New Roman" w:cs="Times New Roman"/>
              </w:rPr>
              <w:t>Należy ponadto podkreślić, że definicja ISP jest szersza niż pojęcie informacji publicznej i zawiera w sobie informację publiczną oraz inne treści (wykraczające poza zakres pojęcia informacji publicznej), tj. np. zasoby bibliotek, archiwów i muzeów niebędących informacj</w:t>
            </w:r>
            <w:r w:rsidR="003969B2" w:rsidRPr="00584929">
              <w:rPr>
                <w:rFonts w:ascii="Times New Roman" w:hAnsi="Times New Roman" w:cs="Times New Roman"/>
              </w:rPr>
              <w:t>ami</w:t>
            </w:r>
            <w:r w:rsidRPr="00584929">
              <w:rPr>
                <w:rFonts w:ascii="Times New Roman" w:hAnsi="Times New Roman" w:cs="Times New Roman"/>
              </w:rPr>
              <w:t xml:space="preserve"> publicznymi oraz inne informac</w:t>
            </w:r>
            <w:r w:rsidR="003969B2" w:rsidRPr="00584929">
              <w:rPr>
                <w:rFonts w:ascii="Times New Roman" w:hAnsi="Times New Roman" w:cs="Times New Roman"/>
              </w:rPr>
              <w:t>je</w:t>
            </w:r>
            <w:r w:rsidRPr="00584929">
              <w:rPr>
                <w:rFonts w:ascii="Times New Roman" w:hAnsi="Times New Roman" w:cs="Times New Roman"/>
              </w:rPr>
              <w:t xml:space="preserve"> niebędące zarówno informacją publiczną ani zasobem bibliotek, archiwów i muzeów.</w:t>
            </w:r>
          </w:p>
        </w:tc>
      </w:tr>
      <w:tr w:rsidR="00261460" w:rsidRPr="00584929" w14:paraId="266474F9" w14:textId="77777777" w:rsidTr="00D94ED7">
        <w:tc>
          <w:tcPr>
            <w:tcW w:w="676" w:type="dxa"/>
            <w:shd w:val="clear" w:color="auto" w:fill="auto"/>
          </w:tcPr>
          <w:p w14:paraId="2DD5A24D" w14:textId="31470030" w:rsidR="00261460" w:rsidRPr="00584929" w:rsidRDefault="00261460" w:rsidP="004A29FC">
            <w:pPr>
              <w:pStyle w:val="Akapitzlist"/>
              <w:numPr>
                <w:ilvl w:val="0"/>
                <w:numId w:val="20"/>
              </w:numPr>
              <w:rPr>
                <w:sz w:val="22"/>
                <w:szCs w:val="22"/>
              </w:rPr>
            </w:pPr>
          </w:p>
        </w:tc>
        <w:tc>
          <w:tcPr>
            <w:tcW w:w="1968" w:type="dxa"/>
            <w:shd w:val="clear" w:color="auto" w:fill="auto"/>
          </w:tcPr>
          <w:p w14:paraId="77C02EE6" w14:textId="4F4EFCBC" w:rsidR="00261460" w:rsidRPr="00584929" w:rsidRDefault="001F4C2D"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22D41FF9" w14:textId="031DC4DA" w:rsidR="00261460" w:rsidRPr="00584929" w:rsidRDefault="001F4C2D" w:rsidP="004A29FC">
            <w:pPr>
              <w:rPr>
                <w:rFonts w:ascii="Times New Roman" w:hAnsi="Times New Roman" w:cs="Times New Roman"/>
              </w:rPr>
            </w:pPr>
            <w:r w:rsidRPr="00584929">
              <w:rPr>
                <w:rFonts w:ascii="Times New Roman" w:hAnsi="Times New Roman" w:cs="Times New Roman"/>
              </w:rPr>
              <w:t>Art. 2 pkt 9</w:t>
            </w:r>
          </w:p>
        </w:tc>
        <w:tc>
          <w:tcPr>
            <w:tcW w:w="5323" w:type="dxa"/>
            <w:shd w:val="clear" w:color="auto" w:fill="auto"/>
          </w:tcPr>
          <w:p w14:paraId="51FC602C" w14:textId="77777777" w:rsidR="001F4C2D" w:rsidRPr="00584929" w:rsidRDefault="001F4C2D" w:rsidP="00A9679C">
            <w:pPr>
              <w:jc w:val="both"/>
              <w:rPr>
                <w:rFonts w:ascii="Times New Roman" w:hAnsi="Times New Roman" w:cs="Times New Roman"/>
              </w:rPr>
            </w:pPr>
            <w:r w:rsidRPr="00584929">
              <w:rPr>
                <w:rFonts w:ascii="Times New Roman" w:hAnsi="Times New Roman" w:cs="Times New Roman"/>
              </w:rPr>
              <w:t>W art. 2 projektu ustawy zawierającym słowniczek pojęć następujące definicje wymagają doprecyzowania:</w:t>
            </w:r>
          </w:p>
          <w:p w14:paraId="3EDB5505" w14:textId="2D6C5942" w:rsidR="00C02828" w:rsidRPr="00584929" w:rsidRDefault="001F4C2D" w:rsidP="008E54CF">
            <w:pPr>
              <w:jc w:val="both"/>
              <w:rPr>
                <w:rFonts w:ascii="Times New Roman" w:hAnsi="Times New Roman" w:cs="Times New Roman"/>
              </w:rPr>
            </w:pPr>
            <w:r w:rsidRPr="00584929">
              <w:rPr>
                <w:rFonts w:ascii="Times New Roman" w:hAnsi="Times New Roman" w:cs="Times New Roman"/>
              </w:rPr>
              <w:t>art. 2 pkt 9: interfejs programistyczny aplikacji – zbiór technicznych funkc</w:t>
            </w:r>
            <w:r w:rsidR="00904C85" w:rsidRPr="00584929">
              <w:rPr>
                <w:rFonts w:ascii="Times New Roman" w:hAnsi="Times New Roman" w:cs="Times New Roman"/>
              </w:rPr>
              <w:t>ji umożliwiających połączenie i </w:t>
            </w:r>
            <w:r w:rsidRPr="00584929">
              <w:rPr>
                <w:rFonts w:ascii="Times New Roman" w:hAnsi="Times New Roman" w:cs="Times New Roman"/>
              </w:rPr>
              <w:t>wzajemną wymianę danych lub metadanych pomiędzy programami komputerowymi lub systemami teleinformatycznymi – nie jest jasne różnicowanie połączenia i wzajemn</w:t>
            </w:r>
            <w:r w:rsidR="008E54CF" w:rsidRPr="00584929">
              <w:rPr>
                <w:rFonts w:ascii="Times New Roman" w:hAnsi="Times New Roman" w:cs="Times New Roman"/>
              </w:rPr>
              <w:t>ej</w:t>
            </w:r>
            <w:r w:rsidRPr="00584929">
              <w:rPr>
                <w:rFonts w:ascii="Times New Roman" w:hAnsi="Times New Roman" w:cs="Times New Roman"/>
              </w:rPr>
              <w:t xml:space="preserve"> wymian</w:t>
            </w:r>
            <w:r w:rsidR="008E54CF" w:rsidRPr="00584929">
              <w:rPr>
                <w:rFonts w:ascii="Times New Roman" w:hAnsi="Times New Roman" w:cs="Times New Roman"/>
              </w:rPr>
              <w:t>y</w:t>
            </w:r>
            <w:r w:rsidRPr="00584929">
              <w:rPr>
                <w:rFonts w:ascii="Times New Roman" w:hAnsi="Times New Roman" w:cs="Times New Roman"/>
              </w:rPr>
              <w:t xml:space="preserve"> danych pomiędzy programami komputerowymi lub systemami teleinformatycznymi.</w:t>
            </w:r>
          </w:p>
        </w:tc>
        <w:tc>
          <w:tcPr>
            <w:tcW w:w="4785" w:type="dxa"/>
            <w:shd w:val="clear" w:color="auto" w:fill="auto"/>
          </w:tcPr>
          <w:p w14:paraId="4D99D9AA" w14:textId="77777777" w:rsidR="00261460" w:rsidRPr="00584929" w:rsidRDefault="001F4C2D" w:rsidP="004A29FC">
            <w:pPr>
              <w:rPr>
                <w:rFonts w:ascii="Times New Roman" w:hAnsi="Times New Roman" w:cs="Times New Roman"/>
                <w:b/>
              </w:rPr>
            </w:pPr>
            <w:r w:rsidRPr="00584929">
              <w:rPr>
                <w:rFonts w:ascii="Times New Roman" w:hAnsi="Times New Roman" w:cs="Times New Roman"/>
                <w:b/>
              </w:rPr>
              <w:t>Uwaga nieuwzględniona</w:t>
            </w:r>
          </w:p>
          <w:p w14:paraId="63A2E563" w14:textId="19798795" w:rsidR="0029359E" w:rsidRPr="00584929" w:rsidRDefault="00790F81" w:rsidP="0029359E">
            <w:pPr>
              <w:jc w:val="both"/>
              <w:rPr>
                <w:rFonts w:ascii="Times New Roman" w:hAnsi="Times New Roman" w:cs="Times New Roman"/>
              </w:rPr>
            </w:pPr>
            <w:r w:rsidRPr="00584929">
              <w:rPr>
                <w:rFonts w:ascii="Times New Roman" w:hAnsi="Times New Roman" w:cs="Times New Roman"/>
              </w:rPr>
              <w:t>Definicja API zastosowana w art. 2 pkt 9 projektu ustawy koresponduje z definicją oprogramowania interfejsowego sformułowaną w ustawie z dnia 17 lutego 2005 r. o informatyzacji działalności podmiotów realizujących zadania publiczne (Dz. U. z 2020 r. poz. 346, z późn. zm.). Zgodnie z art. 3 pkt 11 tej ustawy oprogramowanie interfejsowe to oprogramowanie umożliwiające łączenie i wymianę danych w komunikacji pomiędzy systemami teleinformatycznymi. Zgodnie z definicją interfejsu programistycznego aplikacji przejętą w Standardzie API</w:t>
            </w:r>
            <w:r w:rsidR="0029359E" w:rsidRPr="00584929">
              <w:rPr>
                <w:rStyle w:val="Odwoanieprzypisudolnego"/>
                <w:rFonts w:ascii="Times New Roman" w:hAnsi="Times New Roman" w:cs="Times New Roman"/>
              </w:rPr>
              <w:footnoteReference w:id="1"/>
            </w:r>
            <w:r w:rsidR="00EC28A4">
              <w:rPr>
                <w:rFonts w:ascii="Times New Roman" w:hAnsi="Times New Roman" w:cs="Times New Roman"/>
                <w:vertAlign w:val="superscript"/>
              </w:rPr>
              <w:t>)</w:t>
            </w:r>
            <w:r w:rsidRPr="00584929">
              <w:rPr>
                <w:rFonts w:ascii="Times New Roman" w:hAnsi="Times New Roman" w:cs="Times New Roman"/>
              </w:rPr>
              <w:t xml:space="preserve"> API (ang. Application Programming Interface, </w:t>
            </w:r>
            <w:r w:rsidR="00F64C36" w:rsidRPr="00584929">
              <w:rPr>
                <w:rFonts w:ascii="Times New Roman" w:hAnsi="Times New Roman" w:cs="Times New Roman"/>
              </w:rPr>
              <w:t xml:space="preserve">pol. </w:t>
            </w:r>
            <w:r w:rsidRPr="00584929">
              <w:rPr>
                <w:rFonts w:ascii="Times New Roman" w:hAnsi="Times New Roman" w:cs="Times New Roman"/>
              </w:rPr>
              <w:t xml:space="preserve">interfejs programistyczny aplikacji) oznacza zbiór reguł ściśle opisujący, w jaki sposób programy lub podprogramy komunikują się ze sobą. </w:t>
            </w:r>
          </w:p>
          <w:p w14:paraId="1DEA253F" w14:textId="1C100D02" w:rsidR="0029359E" w:rsidRPr="00584929" w:rsidRDefault="00790F81" w:rsidP="0029359E">
            <w:pPr>
              <w:jc w:val="both"/>
              <w:rPr>
                <w:rFonts w:ascii="Times New Roman" w:hAnsi="Times New Roman" w:cs="Times New Roman"/>
              </w:rPr>
            </w:pPr>
            <w:r w:rsidRPr="00584929">
              <w:rPr>
                <w:rFonts w:ascii="Times New Roman" w:hAnsi="Times New Roman" w:cs="Times New Roman"/>
              </w:rPr>
              <w:t>Do komunikacji maszyna-maszyna niezbędne jest połącze</w:t>
            </w:r>
            <w:r w:rsidR="0029359E" w:rsidRPr="00584929">
              <w:rPr>
                <w:rFonts w:ascii="Times New Roman" w:hAnsi="Times New Roman" w:cs="Times New Roman"/>
              </w:rPr>
              <w:t>nie</w:t>
            </w:r>
            <w:r w:rsidRPr="00584929">
              <w:rPr>
                <w:rFonts w:ascii="Times New Roman" w:hAnsi="Times New Roman" w:cs="Times New Roman"/>
              </w:rPr>
              <w:t xml:space="preserve"> i wymiana danych.</w:t>
            </w:r>
            <w:r w:rsidR="0029359E" w:rsidRPr="00584929">
              <w:rPr>
                <w:rFonts w:ascii="Times New Roman" w:hAnsi="Times New Roman" w:cs="Times New Roman"/>
              </w:rPr>
              <w:t xml:space="preserve"> Ponadto proponowana definicja już funkcjonuje w przepisach prawa. W rozporządzeniu Rady </w:t>
            </w:r>
            <w:r w:rsidR="0029359E" w:rsidRPr="00584929">
              <w:rPr>
                <w:rFonts w:ascii="Times New Roman" w:hAnsi="Times New Roman" w:cs="Times New Roman"/>
              </w:rPr>
              <w:lastRenderedPageBreak/>
              <w:t xml:space="preserve">Ministrów z dnia 12 marca 2014 r. w sprawie Centralnego Repozytorium Informacji Publicznej (Dz. U. z 2014 r. poz. 361, z późn. zm.) w § 2 pkt 3 interfejs programistyczny zdefiniowano jako zbiór technicznych funkcji umożliwiających połączenie i wzajemną wymianę zasobów informacyjnych lub metadanych pomiędzy centralnym repozytorium i innym repozytorium powszechnie dostępnym w sieci teleinformatycznej lub innym zewnętrznym oprogramowaniem. </w:t>
            </w:r>
          </w:p>
          <w:p w14:paraId="3AA39570" w14:textId="61C4E327" w:rsidR="0029359E" w:rsidRPr="00584929" w:rsidRDefault="0029359E" w:rsidP="0029359E">
            <w:pPr>
              <w:jc w:val="both"/>
              <w:rPr>
                <w:rFonts w:ascii="Times New Roman" w:hAnsi="Times New Roman" w:cs="Times New Roman"/>
              </w:rPr>
            </w:pPr>
            <w:r w:rsidRPr="00584929">
              <w:rPr>
                <w:rFonts w:ascii="Times New Roman" w:hAnsi="Times New Roman" w:cs="Times New Roman"/>
              </w:rPr>
              <w:t xml:space="preserve">Podobne podejście zaproponowano w projekcie ustawy – Prawo komunikacji elektronicznej, która jest obecnie również </w:t>
            </w:r>
            <w:r w:rsidR="00F64C36" w:rsidRPr="00584929">
              <w:rPr>
                <w:rFonts w:ascii="Times New Roman" w:hAnsi="Times New Roman" w:cs="Times New Roman"/>
              </w:rPr>
              <w:t xml:space="preserve">procedowana w ramach procesu legislacyjnego </w:t>
            </w:r>
            <w:r w:rsidRPr="00584929">
              <w:rPr>
                <w:rFonts w:ascii="Times New Roman" w:hAnsi="Times New Roman" w:cs="Times New Roman"/>
              </w:rPr>
              <w:t>(UC45). Zgodnie z art. 2 pkt 17 wskazanego projektu interfejs programistyczny aplikacji oznacza interfejs umożliwiający łączenie, współpracę, wymianę informacji pomiędzy aplikacjami dostarczanymi przez nadawców lub dostawców usług, a urządzeniami telewizji cyfrowej służącymi do przekazywania cyfrowych sygnałów umożliwiających świadczenie usług telewizyjnych lub radiofonicznych.</w:t>
            </w:r>
          </w:p>
          <w:p w14:paraId="7F59782E" w14:textId="5C8C48F1" w:rsidR="00790F81" w:rsidRPr="00584929" w:rsidRDefault="0029359E" w:rsidP="00F64C36">
            <w:pPr>
              <w:jc w:val="both"/>
              <w:rPr>
                <w:rFonts w:ascii="Times New Roman" w:hAnsi="Times New Roman" w:cs="Times New Roman"/>
              </w:rPr>
            </w:pPr>
            <w:r w:rsidRPr="00584929">
              <w:rPr>
                <w:rFonts w:ascii="Times New Roman" w:hAnsi="Times New Roman" w:cs="Times New Roman"/>
              </w:rPr>
              <w:t>Każda z powyższych definicji określa sposób komunikowania ze sobą systemów</w:t>
            </w:r>
            <w:r w:rsidR="00F64C36" w:rsidRPr="00584929">
              <w:rPr>
                <w:rFonts w:ascii="Times New Roman" w:hAnsi="Times New Roman" w:cs="Times New Roman"/>
              </w:rPr>
              <w:t>,</w:t>
            </w:r>
            <w:r w:rsidRPr="00584929">
              <w:rPr>
                <w:rFonts w:ascii="Times New Roman" w:hAnsi="Times New Roman" w:cs="Times New Roman"/>
              </w:rPr>
              <w:t xml:space="preserve"> aplikacji, podprogramów, za pomocą sieci, z wykorzystaniem wspólnego zrozumiałego dla nich języka</w:t>
            </w:r>
            <w:r w:rsidR="00F64C36" w:rsidRPr="00584929">
              <w:rPr>
                <w:rFonts w:ascii="Times New Roman" w:hAnsi="Times New Roman" w:cs="Times New Roman"/>
              </w:rPr>
              <w:t xml:space="preserve"> (z podziałem na następujące po sobie reguły, najpierw musi dojść do połączenia, aby nastąpiła wymiana)</w:t>
            </w:r>
            <w:r w:rsidRPr="00584929">
              <w:rPr>
                <w:rFonts w:ascii="Times New Roman" w:hAnsi="Times New Roman" w:cs="Times New Roman"/>
              </w:rPr>
              <w:t>.</w:t>
            </w:r>
          </w:p>
        </w:tc>
      </w:tr>
      <w:tr w:rsidR="00261460" w:rsidRPr="00584929" w14:paraId="03A0CC8D" w14:textId="77777777" w:rsidTr="00D94ED7">
        <w:tc>
          <w:tcPr>
            <w:tcW w:w="676" w:type="dxa"/>
            <w:shd w:val="clear" w:color="auto" w:fill="auto"/>
          </w:tcPr>
          <w:p w14:paraId="40820DA2" w14:textId="5736773F" w:rsidR="00261460" w:rsidRPr="00584929" w:rsidRDefault="00261460" w:rsidP="004A29FC">
            <w:pPr>
              <w:pStyle w:val="Akapitzlist"/>
              <w:numPr>
                <w:ilvl w:val="0"/>
                <w:numId w:val="20"/>
              </w:numPr>
              <w:rPr>
                <w:sz w:val="22"/>
                <w:szCs w:val="22"/>
              </w:rPr>
            </w:pPr>
          </w:p>
        </w:tc>
        <w:tc>
          <w:tcPr>
            <w:tcW w:w="1968" w:type="dxa"/>
            <w:shd w:val="clear" w:color="auto" w:fill="auto"/>
          </w:tcPr>
          <w:p w14:paraId="5851C8E8" w14:textId="49E099F8" w:rsidR="00261460" w:rsidRPr="00584929" w:rsidRDefault="006B2CEB"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549549F1" w14:textId="217C3BE8" w:rsidR="00261460" w:rsidRPr="00584929" w:rsidRDefault="006B2CEB" w:rsidP="004A29FC">
            <w:pPr>
              <w:rPr>
                <w:rFonts w:ascii="Times New Roman" w:hAnsi="Times New Roman" w:cs="Times New Roman"/>
              </w:rPr>
            </w:pPr>
            <w:r w:rsidRPr="00584929">
              <w:rPr>
                <w:rFonts w:ascii="Times New Roman" w:hAnsi="Times New Roman" w:cs="Times New Roman"/>
              </w:rPr>
              <w:t>Art. 2 pkt 11</w:t>
            </w:r>
          </w:p>
        </w:tc>
        <w:tc>
          <w:tcPr>
            <w:tcW w:w="5323" w:type="dxa"/>
            <w:shd w:val="clear" w:color="auto" w:fill="auto"/>
          </w:tcPr>
          <w:p w14:paraId="7CD336F0" w14:textId="77777777" w:rsidR="006B2CEB" w:rsidRPr="00584929" w:rsidRDefault="006B2CEB" w:rsidP="00A9679C">
            <w:pPr>
              <w:jc w:val="both"/>
              <w:rPr>
                <w:rFonts w:ascii="Times New Roman" w:hAnsi="Times New Roman" w:cs="Times New Roman"/>
              </w:rPr>
            </w:pPr>
            <w:r w:rsidRPr="00584929">
              <w:rPr>
                <w:rFonts w:ascii="Times New Roman" w:hAnsi="Times New Roman" w:cs="Times New Roman"/>
              </w:rPr>
              <w:t>W art. 2 projektu ustawy zawierającym słowniczek pojęć następujące definicje wymagają doprecyzowania</w:t>
            </w:r>
          </w:p>
          <w:p w14:paraId="7E427E56" w14:textId="5D40DA4A" w:rsidR="006B2CEB" w:rsidRPr="00584929" w:rsidRDefault="006B2CEB" w:rsidP="00A9679C">
            <w:pPr>
              <w:jc w:val="both"/>
              <w:rPr>
                <w:rFonts w:ascii="Times New Roman" w:hAnsi="Times New Roman" w:cs="Times New Roman"/>
              </w:rPr>
            </w:pPr>
            <w:r w:rsidRPr="00584929">
              <w:rPr>
                <w:rFonts w:ascii="Times New Roman" w:hAnsi="Times New Roman" w:cs="Times New Roman"/>
              </w:rPr>
              <w:t xml:space="preserve">art. 2 pkt 11: otwarte dane – informacje sektora publicznego utrwalone w postaci elektronicznej, udostępnione w otwartym formacie do ponownego wykorzystywania, spełniające łącznie warunki, o których </w:t>
            </w:r>
            <w:r w:rsidRPr="00584929">
              <w:rPr>
                <w:rFonts w:ascii="Times New Roman" w:hAnsi="Times New Roman" w:cs="Times New Roman"/>
              </w:rPr>
              <w:lastRenderedPageBreak/>
              <w:t>mowa w art. 27 ust. 2 – wą</w:t>
            </w:r>
            <w:r w:rsidR="005714ED" w:rsidRPr="00584929">
              <w:rPr>
                <w:rFonts w:ascii="Times New Roman" w:hAnsi="Times New Roman" w:cs="Times New Roman"/>
              </w:rPr>
              <w:t>tpliwości budzi zawarcie w art. </w:t>
            </w:r>
            <w:r w:rsidRPr="00584929">
              <w:rPr>
                <w:rFonts w:ascii="Times New Roman" w:hAnsi="Times New Roman" w:cs="Times New Roman"/>
              </w:rPr>
              <w:t>27 ust. 1 wskazania, iż podmiot zobowiązany, o ile jest to możliwe, udostępnia informacje do ponownego wykorzystania, jako otwarte dane.</w:t>
            </w:r>
          </w:p>
        </w:tc>
        <w:tc>
          <w:tcPr>
            <w:tcW w:w="4785" w:type="dxa"/>
            <w:shd w:val="clear" w:color="auto" w:fill="auto"/>
          </w:tcPr>
          <w:p w14:paraId="535E2D7F" w14:textId="77777777" w:rsidR="00261460" w:rsidRPr="00584929" w:rsidRDefault="001372BF" w:rsidP="004A29FC">
            <w:pPr>
              <w:rPr>
                <w:rFonts w:ascii="Times New Roman" w:hAnsi="Times New Roman" w:cs="Times New Roman"/>
                <w:b/>
              </w:rPr>
            </w:pPr>
            <w:r w:rsidRPr="00584929">
              <w:rPr>
                <w:rFonts w:ascii="Times New Roman" w:hAnsi="Times New Roman" w:cs="Times New Roman"/>
                <w:b/>
              </w:rPr>
              <w:lastRenderedPageBreak/>
              <w:t>Uwaga w</w:t>
            </w:r>
            <w:r w:rsidR="00CA3D5B" w:rsidRPr="00584929">
              <w:rPr>
                <w:rFonts w:ascii="Times New Roman" w:hAnsi="Times New Roman" w:cs="Times New Roman"/>
                <w:b/>
              </w:rPr>
              <w:t>yjaśni</w:t>
            </w:r>
            <w:r w:rsidRPr="00584929">
              <w:rPr>
                <w:rFonts w:ascii="Times New Roman" w:hAnsi="Times New Roman" w:cs="Times New Roman"/>
                <w:b/>
              </w:rPr>
              <w:t>ona</w:t>
            </w:r>
            <w:r w:rsidR="00CA3D5B" w:rsidRPr="00584929">
              <w:rPr>
                <w:rFonts w:ascii="Times New Roman" w:hAnsi="Times New Roman" w:cs="Times New Roman"/>
                <w:b/>
              </w:rPr>
              <w:t xml:space="preserve"> </w:t>
            </w:r>
          </w:p>
          <w:p w14:paraId="445ED453" w14:textId="12676A32" w:rsidR="001372BF" w:rsidRPr="00584929" w:rsidRDefault="001372BF" w:rsidP="001372BF">
            <w:pPr>
              <w:jc w:val="both"/>
              <w:rPr>
                <w:rFonts w:ascii="Times New Roman" w:hAnsi="Times New Roman" w:cs="Times New Roman"/>
              </w:rPr>
            </w:pPr>
            <w:r w:rsidRPr="00584929">
              <w:rPr>
                <w:rFonts w:ascii="Times New Roman" w:hAnsi="Times New Roman" w:cs="Times New Roman"/>
              </w:rPr>
              <w:t>1. Art. 2 pkt 11.</w:t>
            </w:r>
          </w:p>
          <w:p w14:paraId="2565C55C" w14:textId="7F50EA60" w:rsidR="001372BF" w:rsidRPr="00584929" w:rsidRDefault="001372BF" w:rsidP="001372BF">
            <w:pPr>
              <w:jc w:val="both"/>
              <w:rPr>
                <w:rFonts w:ascii="Times New Roman" w:hAnsi="Times New Roman" w:cs="Times New Roman"/>
              </w:rPr>
            </w:pPr>
            <w:r w:rsidRPr="00584929">
              <w:rPr>
                <w:rFonts w:ascii="Times New Roman" w:hAnsi="Times New Roman" w:cs="Times New Roman"/>
              </w:rPr>
              <w:t>Art. 2 pkt 11 projektu ustawy zostanie zmieniony. Do definicji otwartych danych włączony zostanie przepis art. 27 ust. 2.</w:t>
            </w:r>
            <w:r w:rsidR="006F1077" w:rsidRPr="00584929">
              <w:rPr>
                <w:rFonts w:ascii="Times New Roman" w:hAnsi="Times New Roman" w:cs="Times New Roman"/>
              </w:rPr>
              <w:t xml:space="preserve"> </w:t>
            </w:r>
            <w:r w:rsidRPr="00584929">
              <w:rPr>
                <w:rFonts w:ascii="Times New Roman" w:hAnsi="Times New Roman" w:cs="Times New Roman"/>
              </w:rPr>
              <w:t xml:space="preserve">Dodatkowo przepis zostanie </w:t>
            </w:r>
            <w:r w:rsidRPr="00584929">
              <w:rPr>
                <w:rFonts w:ascii="Times New Roman" w:hAnsi="Times New Roman" w:cs="Times New Roman"/>
              </w:rPr>
              <w:lastRenderedPageBreak/>
              <w:t>poddany dodatkowej analizie w ramach rozpatrzenia projektu ustawy przez Komisję prawniczą.</w:t>
            </w:r>
          </w:p>
          <w:p w14:paraId="1A91204A" w14:textId="77777777" w:rsidR="00524E1C" w:rsidRPr="00584929" w:rsidRDefault="00524E1C" w:rsidP="001372BF">
            <w:pPr>
              <w:jc w:val="both"/>
              <w:rPr>
                <w:rFonts w:ascii="Times New Roman" w:hAnsi="Times New Roman" w:cs="Times New Roman"/>
              </w:rPr>
            </w:pPr>
          </w:p>
          <w:p w14:paraId="0D4A52C7" w14:textId="798C3202" w:rsidR="001372BF" w:rsidRPr="00584929" w:rsidRDefault="001372BF" w:rsidP="001372BF">
            <w:pPr>
              <w:jc w:val="both"/>
              <w:rPr>
                <w:rFonts w:ascii="Times New Roman" w:hAnsi="Times New Roman" w:cs="Times New Roman"/>
              </w:rPr>
            </w:pPr>
            <w:r w:rsidRPr="00584929">
              <w:rPr>
                <w:rFonts w:ascii="Times New Roman" w:hAnsi="Times New Roman" w:cs="Times New Roman"/>
              </w:rPr>
              <w:t xml:space="preserve">2. Art. 27 ust. 1. </w:t>
            </w:r>
          </w:p>
          <w:p w14:paraId="4FFF0688" w14:textId="77777777" w:rsidR="001372BF" w:rsidRPr="00584929" w:rsidRDefault="003958F7" w:rsidP="00815897">
            <w:pPr>
              <w:jc w:val="both"/>
              <w:rPr>
                <w:rFonts w:ascii="Times New Roman" w:hAnsi="Times New Roman" w:cs="Times New Roman"/>
              </w:rPr>
            </w:pPr>
            <w:r w:rsidRPr="00584929">
              <w:rPr>
                <w:rFonts w:ascii="Times New Roman" w:hAnsi="Times New Roman" w:cs="Times New Roman"/>
              </w:rPr>
              <w:t xml:space="preserve">Treść art. 27 ust. 1 zostanie przeniesiona do rozdziału 2 projektu </w:t>
            </w:r>
            <w:r w:rsidR="00815897" w:rsidRPr="00584929">
              <w:rPr>
                <w:rFonts w:ascii="Times New Roman" w:hAnsi="Times New Roman" w:cs="Times New Roman"/>
              </w:rPr>
              <w:t xml:space="preserve">ustawy (Zasady udostępniania i przekazywania ISP w celu ponownego wykorzystywania). W przepisie tym wyrażona zostanie </w:t>
            </w:r>
            <w:r w:rsidR="001372BF" w:rsidRPr="00584929">
              <w:rPr>
                <w:rFonts w:ascii="Times New Roman" w:hAnsi="Times New Roman" w:cs="Times New Roman"/>
              </w:rPr>
              <w:t>zasada otwartości danych zgodnie, z którą pomioty zobowiązane, zawsze wtedy kiedy jest to możliwe, powinny udostępniać posiadane ISP jako otwarte dane. Należy bowiem wyjaśnić, że otwarte dane</w:t>
            </w:r>
            <w:r w:rsidR="0026336B" w:rsidRPr="00584929">
              <w:rPr>
                <w:rFonts w:ascii="Times New Roman" w:hAnsi="Times New Roman" w:cs="Times New Roman"/>
              </w:rPr>
              <w:t xml:space="preserve"> stanowią szczególny rodzaj ISP. </w:t>
            </w:r>
            <w:r w:rsidR="00815897" w:rsidRPr="00584929">
              <w:rPr>
                <w:rFonts w:ascii="Times New Roman" w:hAnsi="Times New Roman" w:cs="Times New Roman"/>
              </w:rPr>
              <w:t xml:space="preserve">Są to ISP o szczególnych cechach, które pozwalają na pełne wykorzystywania ich potencjału w ramach ponownego wykorzystywania. </w:t>
            </w:r>
            <w:r w:rsidR="0026336B" w:rsidRPr="00584929">
              <w:rPr>
                <w:rFonts w:ascii="Times New Roman" w:hAnsi="Times New Roman" w:cs="Times New Roman"/>
              </w:rPr>
              <w:t xml:space="preserve">Warunkiem uznania określonych ISP za otwarte dane jest spełnianie przez nich wszystkich </w:t>
            </w:r>
            <w:r w:rsidR="00347084" w:rsidRPr="00584929">
              <w:rPr>
                <w:rFonts w:ascii="Times New Roman" w:hAnsi="Times New Roman" w:cs="Times New Roman"/>
              </w:rPr>
              <w:t>przesłanek</w:t>
            </w:r>
            <w:r w:rsidR="00815897" w:rsidRPr="00584929">
              <w:rPr>
                <w:rFonts w:ascii="Times New Roman" w:hAnsi="Times New Roman" w:cs="Times New Roman"/>
              </w:rPr>
              <w:t xml:space="preserve"> określonych w art. </w:t>
            </w:r>
            <w:r w:rsidR="0026336B" w:rsidRPr="00584929">
              <w:rPr>
                <w:rFonts w:ascii="Times New Roman" w:hAnsi="Times New Roman" w:cs="Times New Roman"/>
              </w:rPr>
              <w:t xml:space="preserve">2 pkt 11. </w:t>
            </w:r>
            <w:r w:rsidR="00347084" w:rsidRPr="00584929">
              <w:rPr>
                <w:rFonts w:ascii="Times New Roman" w:hAnsi="Times New Roman" w:cs="Times New Roman"/>
              </w:rPr>
              <w:t>Przesłanek</w:t>
            </w:r>
            <w:r w:rsidR="0026336B" w:rsidRPr="00584929">
              <w:rPr>
                <w:rFonts w:ascii="Times New Roman" w:hAnsi="Times New Roman" w:cs="Times New Roman"/>
              </w:rPr>
              <w:t xml:space="preserve"> tych, z </w:t>
            </w:r>
            <w:r w:rsidR="001372BF" w:rsidRPr="00584929">
              <w:rPr>
                <w:rFonts w:ascii="Times New Roman" w:hAnsi="Times New Roman" w:cs="Times New Roman"/>
              </w:rPr>
              <w:t>różnych względów</w:t>
            </w:r>
            <w:r w:rsidR="0026336B" w:rsidRPr="00584929">
              <w:rPr>
                <w:rFonts w:ascii="Times New Roman" w:hAnsi="Times New Roman" w:cs="Times New Roman"/>
              </w:rPr>
              <w:t>,</w:t>
            </w:r>
            <w:r w:rsidR="001372BF" w:rsidRPr="00584929">
              <w:rPr>
                <w:rFonts w:ascii="Times New Roman" w:hAnsi="Times New Roman" w:cs="Times New Roman"/>
              </w:rPr>
              <w:t xml:space="preserve"> nie </w:t>
            </w:r>
            <w:r w:rsidR="0026336B" w:rsidRPr="00584929">
              <w:rPr>
                <w:rFonts w:ascii="Times New Roman" w:hAnsi="Times New Roman" w:cs="Times New Roman"/>
              </w:rPr>
              <w:t xml:space="preserve">będą spełniać wszystkie ISP. Zasada </w:t>
            </w:r>
            <w:r w:rsidR="00347084" w:rsidRPr="00584929">
              <w:rPr>
                <w:rFonts w:ascii="Times New Roman" w:hAnsi="Times New Roman" w:cs="Times New Roman"/>
              </w:rPr>
              <w:t xml:space="preserve">otwartości danych </w:t>
            </w:r>
            <w:r w:rsidR="0026336B" w:rsidRPr="00584929">
              <w:rPr>
                <w:rFonts w:ascii="Times New Roman" w:hAnsi="Times New Roman" w:cs="Times New Roman"/>
              </w:rPr>
              <w:t>wyznacza również dysponentom danych kierunek działań, którym jest podejmowane starań mających celu podnoszenie sto</w:t>
            </w:r>
            <w:r w:rsidR="00815897" w:rsidRPr="00584929">
              <w:rPr>
                <w:rFonts w:ascii="Times New Roman" w:hAnsi="Times New Roman" w:cs="Times New Roman"/>
              </w:rPr>
              <w:t>pnia otwartości posiadanych ISP i udostępniania ich jako otwarte dane.</w:t>
            </w:r>
          </w:p>
          <w:p w14:paraId="0FBDC231" w14:textId="77777777" w:rsidR="00524E1C" w:rsidRPr="00584929" w:rsidRDefault="00524E1C" w:rsidP="00815897">
            <w:pPr>
              <w:jc w:val="both"/>
              <w:rPr>
                <w:rFonts w:ascii="Times New Roman" w:hAnsi="Times New Roman" w:cs="Times New Roman"/>
              </w:rPr>
            </w:pPr>
          </w:p>
          <w:p w14:paraId="57F596A3" w14:textId="5664145A" w:rsidR="00524E1C" w:rsidRPr="00584929" w:rsidRDefault="00524E1C" w:rsidP="00815897">
            <w:pPr>
              <w:jc w:val="both"/>
              <w:rPr>
                <w:rFonts w:ascii="Times New Roman" w:hAnsi="Times New Roman" w:cs="Times New Roman"/>
              </w:rPr>
            </w:pPr>
            <w:r w:rsidRPr="00584929">
              <w:rPr>
                <w:rFonts w:ascii="Times New Roman" w:hAnsi="Times New Roman" w:cs="Times New Roman"/>
              </w:rPr>
              <w:t>Przepis zostanie poddany dodatkowej analizie w  ramach rozpatrzenia projektu ustawy przez Komisję prawniczą.</w:t>
            </w:r>
          </w:p>
        </w:tc>
      </w:tr>
      <w:tr w:rsidR="00261460" w:rsidRPr="00584929" w14:paraId="2D87E64A" w14:textId="77777777" w:rsidTr="00D94ED7">
        <w:tc>
          <w:tcPr>
            <w:tcW w:w="676" w:type="dxa"/>
            <w:shd w:val="clear" w:color="auto" w:fill="auto"/>
          </w:tcPr>
          <w:p w14:paraId="0F7C9B13" w14:textId="6B71679C" w:rsidR="00261460" w:rsidRPr="00584929" w:rsidRDefault="00261460" w:rsidP="004A29FC">
            <w:pPr>
              <w:pStyle w:val="Akapitzlist"/>
              <w:numPr>
                <w:ilvl w:val="0"/>
                <w:numId w:val="20"/>
              </w:numPr>
              <w:rPr>
                <w:sz w:val="22"/>
                <w:szCs w:val="22"/>
              </w:rPr>
            </w:pPr>
          </w:p>
        </w:tc>
        <w:tc>
          <w:tcPr>
            <w:tcW w:w="1968" w:type="dxa"/>
            <w:shd w:val="clear" w:color="auto" w:fill="auto"/>
          </w:tcPr>
          <w:p w14:paraId="3A55E605" w14:textId="70EE94DC" w:rsidR="00261460" w:rsidRPr="00584929" w:rsidRDefault="006B2CEB"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0C66178D" w14:textId="78B7AAB8" w:rsidR="00261460" w:rsidRPr="00584929" w:rsidRDefault="006B2CEB" w:rsidP="004A29FC">
            <w:pPr>
              <w:rPr>
                <w:rFonts w:ascii="Times New Roman" w:hAnsi="Times New Roman" w:cs="Times New Roman"/>
              </w:rPr>
            </w:pPr>
            <w:r w:rsidRPr="00584929">
              <w:rPr>
                <w:rFonts w:ascii="Times New Roman" w:hAnsi="Times New Roman" w:cs="Times New Roman"/>
              </w:rPr>
              <w:t>Art. 2 pkt 12</w:t>
            </w:r>
          </w:p>
        </w:tc>
        <w:tc>
          <w:tcPr>
            <w:tcW w:w="5323" w:type="dxa"/>
            <w:shd w:val="clear" w:color="auto" w:fill="auto"/>
          </w:tcPr>
          <w:p w14:paraId="682193B2" w14:textId="77777777" w:rsidR="006B2CEB" w:rsidRPr="00584929" w:rsidRDefault="006B2CEB" w:rsidP="00A9679C">
            <w:pPr>
              <w:jc w:val="both"/>
              <w:rPr>
                <w:rFonts w:ascii="Times New Roman" w:hAnsi="Times New Roman" w:cs="Times New Roman"/>
              </w:rPr>
            </w:pPr>
            <w:r w:rsidRPr="00584929">
              <w:rPr>
                <w:rFonts w:ascii="Times New Roman" w:hAnsi="Times New Roman" w:cs="Times New Roman"/>
              </w:rPr>
              <w:t>Ponownej analizy wymaga siatka pojęciowa zdefiniowana w art. 2 ustawy:</w:t>
            </w:r>
          </w:p>
          <w:p w14:paraId="43A22582" w14:textId="62D809E0" w:rsidR="006B2CEB" w:rsidRPr="00584929" w:rsidRDefault="006B2CEB" w:rsidP="00A9679C">
            <w:pPr>
              <w:jc w:val="both"/>
              <w:rPr>
                <w:rFonts w:ascii="Times New Roman" w:hAnsi="Times New Roman" w:cs="Times New Roman"/>
              </w:rPr>
            </w:pPr>
            <w:r w:rsidRPr="00584929">
              <w:rPr>
                <w:rFonts w:ascii="Times New Roman" w:hAnsi="Times New Roman" w:cs="Times New Roman"/>
              </w:rPr>
              <w:t xml:space="preserve">definicja podmiotu zobowiązanego  - art. 2 pkt 12 projektu ustawy – skoro zakres znaczeniowy pojęcia podmiot zobowiązany ustala art. 3 projektu, to wydaje się zasadne wprowadzenie skrótu na potrzeby tego pojęcia we </w:t>
            </w:r>
            <w:r w:rsidRPr="00584929">
              <w:rPr>
                <w:rFonts w:ascii="Times New Roman" w:hAnsi="Times New Roman" w:cs="Times New Roman"/>
              </w:rPr>
              <w:lastRenderedPageBreak/>
              <w:t>wpr</w:t>
            </w:r>
            <w:r w:rsidR="00166046" w:rsidRPr="00584929">
              <w:rPr>
                <w:rFonts w:ascii="Times New Roman" w:hAnsi="Times New Roman" w:cs="Times New Roman"/>
              </w:rPr>
              <w:t>owadzeniu do wyliczenia do art. </w:t>
            </w:r>
            <w:r w:rsidRPr="00584929">
              <w:rPr>
                <w:rFonts w:ascii="Times New Roman" w:hAnsi="Times New Roman" w:cs="Times New Roman"/>
              </w:rPr>
              <w:t>3, zamiast posługiwania się osobną definicją tego pojęcia w art. 2 projektu ustawy.</w:t>
            </w:r>
          </w:p>
        </w:tc>
        <w:tc>
          <w:tcPr>
            <w:tcW w:w="4785" w:type="dxa"/>
            <w:shd w:val="clear" w:color="auto" w:fill="auto"/>
          </w:tcPr>
          <w:p w14:paraId="3EAB381A" w14:textId="77777777" w:rsidR="00261460" w:rsidRPr="00584929" w:rsidRDefault="006B2CEB" w:rsidP="004A29FC">
            <w:pPr>
              <w:rPr>
                <w:rFonts w:ascii="Times New Roman" w:hAnsi="Times New Roman" w:cs="Times New Roman"/>
                <w:b/>
              </w:rPr>
            </w:pPr>
            <w:r w:rsidRPr="00584929">
              <w:rPr>
                <w:rFonts w:ascii="Times New Roman" w:hAnsi="Times New Roman" w:cs="Times New Roman"/>
                <w:b/>
              </w:rPr>
              <w:lastRenderedPageBreak/>
              <w:t>Uwaga uwzględniona</w:t>
            </w:r>
          </w:p>
          <w:p w14:paraId="3E85C94A" w14:textId="15F36F85" w:rsidR="004208C6" w:rsidRPr="00584929" w:rsidRDefault="004208C6" w:rsidP="004A29FC">
            <w:pPr>
              <w:rPr>
                <w:rFonts w:ascii="Times New Roman" w:hAnsi="Times New Roman" w:cs="Times New Roman"/>
              </w:rPr>
            </w:pPr>
            <w:r w:rsidRPr="00584929">
              <w:rPr>
                <w:rFonts w:ascii="Times New Roman" w:hAnsi="Times New Roman" w:cs="Times New Roman"/>
              </w:rPr>
              <w:t>Przepisy zostaną zmienione.</w:t>
            </w:r>
          </w:p>
        </w:tc>
      </w:tr>
      <w:tr w:rsidR="00893992" w:rsidRPr="00584929" w14:paraId="545ECCD1" w14:textId="77777777" w:rsidTr="00D94ED7">
        <w:tc>
          <w:tcPr>
            <w:tcW w:w="676" w:type="dxa"/>
            <w:shd w:val="clear" w:color="auto" w:fill="auto"/>
          </w:tcPr>
          <w:p w14:paraId="5B795345" w14:textId="78A0C50D" w:rsidR="00893992" w:rsidRPr="00584929" w:rsidRDefault="00893992" w:rsidP="004A29FC">
            <w:pPr>
              <w:pStyle w:val="Akapitzlist"/>
              <w:numPr>
                <w:ilvl w:val="0"/>
                <w:numId w:val="20"/>
              </w:numPr>
              <w:rPr>
                <w:sz w:val="22"/>
                <w:szCs w:val="22"/>
              </w:rPr>
            </w:pPr>
          </w:p>
        </w:tc>
        <w:tc>
          <w:tcPr>
            <w:tcW w:w="1968" w:type="dxa"/>
            <w:shd w:val="clear" w:color="auto" w:fill="auto"/>
          </w:tcPr>
          <w:p w14:paraId="587C5B80" w14:textId="2A783436" w:rsidR="00893992" w:rsidRPr="00584929" w:rsidRDefault="006B2CEB"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35CF2ABF" w14:textId="4704629B" w:rsidR="00893992" w:rsidRPr="00584929" w:rsidRDefault="006B2CEB" w:rsidP="004A29FC">
            <w:pPr>
              <w:rPr>
                <w:rFonts w:ascii="Times New Roman" w:hAnsi="Times New Roman" w:cs="Times New Roman"/>
              </w:rPr>
            </w:pPr>
            <w:r w:rsidRPr="00584929">
              <w:rPr>
                <w:rFonts w:ascii="Times New Roman" w:hAnsi="Times New Roman" w:cs="Times New Roman"/>
              </w:rPr>
              <w:t>Art. 2 pkt 13</w:t>
            </w:r>
          </w:p>
        </w:tc>
        <w:tc>
          <w:tcPr>
            <w:tcW w:w="5323" w:type="dxa"/>
            <w:shd w:val="clear" w:color="auto" w:fill="auto"/>
          </w:tcPr>
          <w:p w14:paraId="23181DD5" w14:textId="77777777" w:rsidR="006B2CEB" w:rsidRPr="00584929" w:rsidRDefault="006B2CEB" w:rsidP="00A9679C">
            <w:pPr>
              <w:jc w:val="both"/>
              <w:rPr>
                <w:rFonts w:ascii="Times New Roman" w:hAnsi="Times New Roman" w:cs="Times New Roman"/>
              </w:rPr>
            </w:pPr>
            <w:r w:rsidRPr="00584929">
              <w:rPr>
                <w:rFonts w:ascii="Times New Roman" w:hAnsi="Times New Roman" w:cs="Times New Roman"/>
              </w:rPr>
              <w:t>Ponownej analizy wymaga siatka pojęciowa zdefiniowana w art. 2 ustawy:</w:t>
            </w:r>
          </w:p>
          <w:p w14:paraId="67A7B4C8" w14:textId="1F6821EF" w:rsidR="00893992" w:rsidRPr="00584929" w:rsidRDefault="006B2CEB" w:rsidP="00A9679C">
            <w:pPr>
              <w:jc w:val="both"/>
              <w:rPr>
                <w:rFonts w:ascii="Times New Roman" w:hAnsi="Times New Roman" w:cs="Times New Roman"/>
              </w:rPr>
            </w:pPr>
            <w:r w:rsidRPr="00584929">
              <w:rPr>
                <w:rFonts w:ascii="Times New Roman" w:hAnsi="Times New Roman" w:cs="Times New Roman"/>
              </w:rPr>
              <w:t>ponowne wykorzystywanie – art. 2 pkt 13 projektu ustawy – budzi wątpliwości, czy ponowne wykorzystywanie zawsze jest możliwe w „dowolnym innym celu niż pierwotny cel publiczny, dla którego informacja została wytworzona”. Wydaje się, że cel wykorzystania danych, pozostający w sprzeczności z prawem może stanowić podstawę odmowy udostępniania lub przekazania informacji sektora publicznego do ponownego wykorzystywania. Przepis wymaga zatem korekty.</w:t>
            </w:r>
          </w:p>
        </w:tc>
        <w:tc>
          <w:tcPr>
            <w:tcW w:w="4785" w:type="dxa"/>
            <w:shd w:val="clear" w:color="auto" w:fill="auto"/>
          </w:tcPr>
          <w:p w14:paraId="3A361A1E" w14:textId="77777777" w:rsidR="00893992" w:rsidRPr="00584929" w:rsidRDefault="006B2CEB" w:rsidP="004208C6">
            <w:pPr>
              <w:rPr>
                <w:rFonts w:ascii="Times New Roman" w:hAnsi="Times New Roman" w:cs="Times New Roman"/>
                <w:b/>
              </w:rPr>
            </w:pPr>
            <w:r w:rsidRPr="00584929">
              <w:rPr>
                <w:rFonts w:ascii="Times New Roman" w:hAnsi="Times New Roman" w:cs="Times New Roman"/>
                <w:b/>
              </w:rPr>
              <w:t>Uwaga uwzględniona</w:t>
            </w:r>
            <w:r w:rsidR="004208C6" w:rsidRPr="00584929">
              <w:rPr>
                <w:rFonts w:ascii="Times New Roman" w:hAnsi="Times New Roman" w:cs="Times New Roman"/>
                <w:b/>
              </w:rPr>
              <w:t xml:space="preserve"> kierunkowo </w:t>
            </w:r>
          </w:p>
          <w:p w14:paraId="27CF3CDE" w14:textId="6E5B922A" w:rsidR="004208C6" w:rsidRPr="00584929" w:rsidRDefault="004208C6" w:rsidP="000100EB">
            <w:pPr>
              <w:jc w:val="both"/>
              <w:rPr>
                <w:rFonts w:ascii="Times New Roman" w:hAnsi="Times New Roman" w:cs="Times New Roman"/>
              </w:rPr>
            </w:pPr>
            <w:r w:rsidRPr="00584929">
              <w:rPr>
                <w:rFonts w:ascii="Times New Roman" w:hAnsi="Times New Roman" w:cs="Times New Roman"/>
              </w:rPr>
              <w:t xml:space="preserve">Przepis zostanie zmieniony poprzez </w:t>
            </w:r>
            <w:r w:rsidR="000100EB" w:rsidRPr="00584929">
              <w:rPr>
                <w:rFonts w:ascii="Times New Roman" w:hAnsi="Times New Roman" w:cs="Times New Roman"/>
              </w:rPr>
              <w:t>zastąpienie</w:t>
            </w:r>
            <w:r w:rsidRPr="00584929">
              <w:rPr>
                <w:rFonts w:ascii="Times New Roman" w:hAnsi="Times New Roman" w:cs="Times New Roman"/>
              </w:rPr>
              <w:t xml:space="preserve"> zwro</w:t>
            </w:r>
            <w:r w:rsidR="000100EB" w:rsidRPr="00584929">
              <w:rPr>
                <w:rFonts w:ascii="Times New Roman" w:hAnsi="Times New Roman" w:cs="Times New Roman"/>
              </w:rPr>
              <w:t xml:space="preserve">tu „w dowolnym celu innym niż” </w:t>
            </w:r>
            <w:r w:rsidRPr="00584929">
              <w:rPr>
                <w:rFonts w:ascii="Times New Roman" w:hAnsi="Times New Roman" w:cs="Times New Roman"/>
              </w:rPr>
              <w:t>zwrot</w:t>
            </w:r>
            <w:r w:rsidR="000100EB" w:rsidRPr="00584929">
              <w:rPr>
                <w:rFonts w:ascii="Times New Roman" w:hAnsi="Times New Roman" w:cs="Times New Roman"/>
              </w:rPr>
              <w:t>em</w:t>
            </w:r>
            <w:r w:rsidRPr="00584929">
              <w:rPr>
                <w:rFonts w:ascii="Times New Roman" w:hAnsi="Times New Roman" w:cs="Times New Roman"/>
              </w:rPr>
              <w:t xml:space="preserve"> „w jakimkolwiek innym celu niż”. </w:t>
            </w:r>
          </w:p>
        </w:tc>
      </w:tr>
      <w:tr w:rsidR="00893992" w:rsidRPr="00584929" w14:paraId="001F64C8" w14:textId="77777777" w:rsidTr="00D94ED7">
        <w:tc>
          <w:tcPr>
            <w:tcW w:w="676" w:type="dxa"/>
            <w:shd w:val="clear" w:color="auto" w:fill="auto"/>
          </w:tcPr>
          <w:p w14:paraId="1275414A" w14:textId="4AB48DD1" w:rsidR="00893992" w:rsidRPr="00584929" w:rsidRDefault="00893992" w:rsidP="004A29FC">
            <w:pPr>
              <w:pStyle w:val="Akapitzlist"/>
              <w:numPr>
                <w:ilvl w:val="0"/>
                <w:numId w:val="20"/>
              </w:numPr>
              <w:rPr>
                <w:sz w:val="22"/>
                <w:szCs w:val="22"/>
              </w:rPr>
            </w:pPr>
          </w:p>
        </w:tc>
        <w:tc>
          <w:tcPr>
            <w:tcW w:w="1968" w:type="dxa"/>
            <w:shd w:val="clear" w:color="auto" w:fill="auto"/>
          </w:tcPr>
          <w:p w14:paraId="08550AC4" w14:textId="59678169" w:rsidR="006B2CEB" w:rsidRPr="00584929" w:rsidRDefault="006B2CEB" w:rsidP="004A29FC">
            <w:pPr>
              <w:rPr>
                <w:rFonts w:ascii="Times New Roman" w:hAnsi="Times New Roman" w:cs="Times New Roman"/>
              </w:rPr>
            </w:pPr>
            <w:r w:rsidRPr="00584929">
              <w:rPr>
                <w:rFonts w:ascii="Times New Roman" w:hAnsi="Times New Roman" w:cs="Times New Roman"/>
              </w:rPr>
              <w:t xml:space="preserve">Ministerstwo Kultury </w:t>
            </w:r>
            <w:r w:rsidR="003863AF" w:rsidRPr="00584929">
              <w:rPr>
                <w:rFonts w:ascii="Times New Roman" w:hAnsi="Times New Roman" w:cs="Times New Roman"/>
              </w:rPr>
              <w:t>i Dziedzictwa Narodowego</w:t>
            </w:r>
          </w:p>
          <w:p w14:paraId="418AAC5D" w14:textId="77777777" w:rsidR="006B2CEB" w:rsidRPr="00584929" w:rsidRDefault="006B2CEB" w:rsidP="004A29FC">
            <w:pPr>
              <w:rPr>
                <w:rFonts w:ascii="Times New Roman" w:hAnsi="Times New Roman" w:cs="Times New Roman"/>
              </w:rPr>
            </w:pPr>
          </w:p>
          <w:p w14:paraId="37567F1D" w14:textId="0003373E" w:rsidR="006B2CEB" w:rsidRPr="00584929" w:rsidRDefault="006B2CEB" w:rsidP="004A29FC">
            <w:pPr>
              <w:rPr>
                <w:rFonts w:ascii="Times New Roman" w:hAnsi="Times New Roman" w:cs="Times New Roman"/>
              </w:rPr>
            </w:pPr>
          </w:p>
        </w:tc>
        <w:tc>
          <w:tcPr>
            <w:tcW w:w="1526" w:type="dxa"/>
            <w:shd w:val="clear" w:color="auto" w:fill="auto"/>
          </w:tcPr>
          <w:p w14:paraId="67520CE1" w14:textId="77777777" w:rsidR="006B2CEB" w:rsidRPr="00584929" w:rsidRDefault="006B2CEB" w:rsidP="004A29FC">
            <w:pPr>
              <w:rPr>
                <w:rFonts w:ascii="Times New Roman" w:hAnsi="Times New Roman" w:cs="Times New Roman"/>
              </w:rPr>
            </w:pPr>
            <w:r w:rsidRPr="00584929">
              <w:rPr>
                <w:rFonts w:ascii="Times New Roman" w:hAnsi="Times New Roman" w:cs="Times New Roman"/>
              </w:rPr>
              <w:t xml:space="preserve">Art. 2 pkt 13 </w:t>
            </w:r>
          </w:p>
          <w:p w14:paraId="0C573D1A" w14:textId="51C514B1" w:rsidR="00893992" w:rsidRPr="00584929" w:rsidRDefault="006B2CEB" w:rsidP="004A29FC">
            <w:pPr>
              <w:rPr>
                <w:rFonts w:ascii="Times New Roman" w:hAnsi="Times New Roman" w:cs="Times New Roman"/>
              </w:rPr>
            </w:pPr>
            <w:r w:rsidRPr="00584929">
              <w:rPr>
                <w:rFonts w:ascii="Times New Roman" w:hAnsi="Times New Roman" w:cs="Times New Roman"/>
              </w:rPr>
              <w:t>Art. 8 ust. 2</w:t>
            </w:r>
          </w:p>
        </w:tc>
        <w:tc>
          <w:tcPr>
            <w:tcW w:w="5323" w:type="dxa"/>
            <w:shd w:val="clear" w:color="auto" w:fill="auto"/>
          </w:tcPr>
          <w:p w14:paraId="09CFBF74" w14:textId="28037B10" w:rsidR="00893992" w:rsidRPr="00584929" w:rsidRDefault="006B2CEB" w:rsidP="00A9679C">
            <w:pPr>
              <w:jc w:val="both"/>
              <w:rPr>
                <w:rFonts w:ascii="Times New Roman" w:hAnsi="Times New Roman" w:cs="Times New Roman"/>
              </w:rPr>
            </w:pPr>
            <w:r w:rsidRPr="00584929">
              <w:rPr>
                <w:rFonts w:ascii="Times New Roman" w:hAnsi="Times New Roman" w:cs="Times New Roman"/>
              </w:rPr>
              <w:t>Wątpliwości budzi kwestia udostępniania zasobów pomiędzy muzeami stanowiącymi podmioty zobowiązane ustawą. W myśl obec</w:t>
            </w:r>
            <w:r w:rsidR="00B9722D" w:rsidRPr="00584929">
              <w:rPr>
                <w:rFonts w:ascii="Times New Roman" w:hAnsi="Times New Roman" w:cs="Times New Roman"/>
              </w:rPr>
              <w:t>nie obowiązującej ustawy, jak i </w:t>
            </w:r>
            <w:r w:rsidRPr="00584929">
              <w:rPr>
                <w:rFonts w:ascii="Times New Roman" w:hAnsi="Times New Roman" w:cs="Times New Roman"/>
              </w:rPr>
              <w:t>nowego projektu nie dochodzi do ponownego wykorzystywania informacji w przypadku wykonywania zadań publicznych. Decydujące znaczenie ma więc właściwa wykładnia kryterium wykonywania zadania publicznego w muzeach, która – z uwagi na swój generalny charakter – może prowadzić do licznych nadużyć w relacjach między instytucjami. Sytuacja dotyczy stosowania między muzeami opłat wyższych za udostepnienie informacji, niż określonych w ustawie re-use. Przeczy to zasadzie równego traktowania. (patrz ekspertyza s. 167 „Ponowne udostępnianie ISP pomiędzy instytucjami kultury”).</w:t>
            </w:r>
          </w:p>
        </w:tc>
        <w:tc>
          <w:tcPr>
            <w:tcW w:w="4785" w:type="dxa"/>
            <w:shd w:val="clear" w:color="auto" w:fill="auto"/>
          </w:tcPr>
          <w:p w14:paraId="7D0AF236" w14:textId="77777777" w:rsidR="00893992" w:rsidRPr="00584929" w:rsidRDefault="006B2CEB" w:rsidP="004A29FC">
            <w:pPr>
              <w:rPr>
                <w:rFonts w:ascii="Times New Roman" w:hAnsi="Times New Roman" w:cs="Times New Roman"/>
                <w:b/>
              </w:rPr>
            </w:pPr>
            <w:r w:rsidRPr="00584929">
              <w:rPr>
                <w:rFonts w:ascii="Times New Roman" w:hAnsi="Times New Roman" w:cs="Times New Roman"/>
                <w:b/>
              </w:rPr>
              <w:t>Uwaga nieuwzględniona</w:t>
            </w:r>
          </w:p>
          <w:p w14:paraId="62BE2A84" w14:textId="2968B46D" w:rsidR="00B9722D" w:rsidRPr="00584929" w:rsidRDefault="00B9722D" w:rsidP="00B9722D">
            <w:pPr>
              <w:jc w:val="both"/>
              <w:rPr>
                <w:rFonts w:ascii="Times New Roman" w:hAnsi="Times New Roman" w:cs="Times New Roman"/>
              </w:rPr>
            </w:pPr>
            <w:r w:rsidRPr="00584929">
              <w:rPr>
                <w:rFonts w:ascii="Times New Roman" w:hAnsi="Times New Roman" w:cs="Times New Roman"/>
              </w:rPr>
              <w:t>Definicja ponownego wykorzystywania stanowi implementację art. 2 pkt 11 dyrektywy 2019/1024/UE. Ponownym wykorzystywanie w rozumieniu ustawowym nie jest w związku z tym udostępnianie lub przekazanie ISP przez podmiot wykonujący zadania publiczne innemu podmiotowi wykonującemu zadania publiczne wyłącznie w celu realizacji takich zadań.</w:t>
            </w:r>
          </w:p>
          <w:p w14:paraId="01F070AE" w14:textId="1200C260" w:rsidR="00B9722D" w:rsidRPr="00584929" w:rsidRDefault="00B9722D" w:rsidP="007D0745">
            <w:pPr>
              <w:jc w:val="both"/>
              <w:rPr>
                <w:rFonts w:ascii="Times New Roman" w:hAnsi="Times New Roman" w:cs="Times New Roman"/>
                <w:b/>
              </w:rPr>
            </w:pPr>
            <w:r w:rsidRPr="00584929">
              <w:rPr>
                <w:rFonts w:ascii="Times New Roman" w:hAnsi="Times New Roman" w:cs="Times New Roman"/>
              </w:rPr>
              <w:t>Wymiana ISP pomiędzy muzeami, której celem jest realizacja zadań publicznych nie jest ponownym wykorzystywaniem. W związku z tym przepisy projektowanej usta</w:t>
            </w:r>
            <w:r w:rsidR="007D0745" w:rsidRPr="00584929">
              <w:rPr>
                <w:rFonts w:ascii="Times New Roman" w:hAnsi="Times New Roman" w:cs="Times New Roman"/>
              </w:rPr>
              <w:t>wy (w tym przepisy dot. opłat i </w:t>
            </w:r>
            <w:r w:rsidRPr="00584929">
              <w:rPr>
                <w:rFonts w:ascii="Times New Roman" w:hAnsi="Times New Roman" w:cs="Times New Roman"/>
              </w:rPr>
              <w:t xml:space="preserve">zasad ponownego wykorzystywania ISP) nie będą znajdować zastosowania. </w:t>
            </w:r>
            <w:r w:rsidR="007D0745" w:rsidRPr="00584929">
              <w:rPr>
                <w:rFonts w:ascii="Times New Roman" w:hAnsi="Times New Roman" w:cs="Times New Roman"/>
              </w:rPr>
              <w:t>R</w:t>
            </w:r>
            <w:r w:rsidRPr="00584929">
              <w:rPr>
                <w:rFonts w:ascii="Times New Roman" w:hAnsi="Times New Roman" w:cs="Times New Roman"/>
              </w:rPr>
              <w:t xml:space="preserve">egulacje dot. opłat nakładanych przez muzea w ramach współpracy (prowadzonej w ramach realizacji zadań publicznych) </w:t>
            </w:r>
            <w:r w:rsidR="007D0745" w:rsidRPr="00584929">
              <w:rPr>
                <w:rFonts w:ascii="Times New Roman" w:hAnsi="Times New Roman" w:cs="Times New Roman"/>
              </w:rPr>
              <w:t>są</w:t>
            </w:r>
            <w:r w:rsidRPr="00584929">
              <w:rPr>
                <w:rFonts w:ascii="Times New Roman" w:hAnsi="Times New Roman" w:cs="Times New Roman"/>
              </w:rPr>
              <w:t xml:space="preserve"> poza zakresem projektowanej ustawy.</w:t>
            </w:r>
          </w:p>
        </w:tc>
      </w:tr>
      <w:tr w:rsidR="00DC62FA" w:rsidRPr="00584929" w14:paraId="5EEC964C" w14:textId="77777777" w:rsidTr="00D94ED7">
        <w:tc>
          <w:tcPr>
            <w:tcW w:w="676" w:type="dxa"/>
            <w:shd w:val="clear" w:color="auto" w:fill="auto"/>
          </w:tcPr>
          <w:p w14:paraId="2C88E53C" w14:textId="77777777" w:rsidR="00DC62FA" w:rsidRPr="00584929" w:rsidRDefault="00DC62FA" w:rsidP="004A29FC">
            <w:pPr>
              <w:pStyle w:val="Akapitzlist"/>
              <w:numPr>
                <w:ilvl w:val="0"/>
                <w:numId w:val="20"/>
              </w:numPr>
              <w:rPr>
                <w:sz w:val="22"/>
                <w:szCs w:val="22"/>
              </w:rPr>
            </w:pPr>
          </w:p>
        </w:tc>
        <w:tc>
          <w:tcPr>
            <w:tcW w:w="1968" w:type="dxa"/>
            <w:shd w:val="clear" w:color="auto" w:fill="auto"/>
          </w:tcPr>
          <w:p w14:paraId="6A718715" w14:textId="77777777" w:rsidR="00DC62FA" w:rsidRPr="00584929" w:rsidRDefault="00DC62FA" w:rsidP="004A29FC">
            <w:pPr>
              <w:rPr>
                <w:rFonts w:ascii="Times New Roman" w:hAnsi="Times New Roman" w:cs="Times New Roman"/>
              </w:rPr>
            </w:pPr>
            <w:r w:rsidRPr="00584929">
              <w:rPr>
                <w:rFonts w:ascii="Times New Roman" w:hAnsi="Times New Roman" w:cs="Times New Roman"/>
              </w:rPr>
              <w:t>Ministerstwo Aktywów Państwowych</w:t>
            </w:r>
          </w:p>
          <w:p w14:paraId="1ACEF409" w14:textId="5B29B780" w:rsidR="00DC62FA" w:rsidRPr="00584929" w:rsidRDefault="00DC62FA" w:rsidP="004A29FC">
            <w:pPr>
              <w:rPr>
                <w:rFonts w:ascii="Times New Roman" w:hAnsi="Times New Roman" w:cs="Times New Roman"/>
              </w:rPr>
            </w:pPr>
          </w:p>
        </w:tc>
        <w:tc>
          <w:tcPr>
            <w:tcW w:w="1526" w:type="dxa"/>
            <w:shd w:val="clear" w:color="auto" w:fill="auto"/>
          </w:tcPr>
          <w:p w14:paraId="1074AA74" w14:textId="0FB6A124" w:rsidR="00DC62FA" w:rsidRPr="00584929" w:rsidRDefault="00DC62FA" w:rsidP="004A29FC">
            <w:pPr>
              <w:rPr>
                <w:rFonts w:ascii="Times New Roman" w:hAnsi="Times New Roman" w:cs="Times New Roman"/>
              </w:rPr>
            </w:pPr>
            <w:r w:rsidRPr="00584929">
              <w:rPr>
                <w:rFonts w:ascii="Times New Roman" w:hAnsi="Times New Roman" w:cs="Times New Roman"/>
              </w:rPr>
              <w:t>Art. 3 pkt 5</w:t>
            </w:r>
          </w:p>
        </w:tc>
        <w:tc>
          <w:tcPr>
            <w:tcW w:w="5323" w:type="dxa"/>
            <w:shd w:val="clear" w:color="auto" w:fill="auto"/>
          </w:tcPr>
          <w:p w14:paraId="149D32DC" w14:textId="0DE1FCAD" w:rsidR="00DC62FA" w:rsidRPr="00584929" w:rsidRDefault="00DC62FA" w:rsidP="001D6AAD">
            <w:pPr>
              <w:jc w:val="both"/>
              <w:rPr>
                <w:rFonts w:ascii="Times New Roman" w:hAnsi="Times New Roman" w:cs="Times New Roman"/>
              </w:rPr>
            </w:pPr>
            <w:r w:rsidRPr="00584929">
              <w:rPr>
                <w:rFonts w:ascii="Times New Roman" w:hAnsi="Times New Roman" w:cs="Times New Roman"/>
              </w:rPr>
              <w:t xml:space="preserve">Ministerstwo Aktywów Państwowych wnosi o </w:t>
            </w:r>
            <w:r w:rsidR="003204F0" w:rsidRPr="00584929">
              <w:rPr>
                <w:rFonts w:ascii="Times New Roman" w:hAnsi="Times New Roman" w:cs="Times New Roman"/>
              </w:rPr>
              <w:t xml:space="preserve">udzielenie wyjaśnień w zakresie </w:t>
            </w:r>
            <w:r w:rsidRPr="00584929">
              <w:rPr>
                <w:rFonts w:ascii="Times New Roman" w:hAnsi="Times New Roman" w:cs="Times New Roman"/>
              </w:rPr>
              <w:t>skutków objęcia projektowaną ustawą podmiotów, o których mowa w art. 3 pkt 5 projektu, w szczególności w kontekście spółek z udz</w:t>
            </w:r>
            <w:r w:rsidR="001D6AAD" w:rsidRPr="00584929">
              <w:rPr>
                <w:rFonts w:ascii="Times New Roman" w:hAnsi="Times New Roman" w:cs="Times New Roman"/>
              </w:rPr>
              <w:t>iałem Skarbu Państwa. Zgodnie z </w:t>
            </w:r>
            <w:r w:rsidRPr="00584929">
              <w:rPr>
                <w:rFonts w:ascii="Times New Roman" w:hAnsi="Times New Roman" w:cs="Times New Roman"/>
              </w:rPr>
              <w:t>tym przepisem podmiotami zobowiązanymi do udostępniania lub przekazywania informacji sektora publicznego w celu ponownego wykorzystywania są p</w:t>
            </w:r>
            <w:r w:rsidR="003204F0" w:rsidRPr="00584929">
              <w:rPr>
                <w:rFonts w:ascii="Times New Roman" w:hAnsi="Times New Roman" w:cs="Times New Roman"/>
              </w:rPr>
              <w:t>odmioty, które wykonują jeden z </w:t>
            </w:r>
            <w:r w:rsidRPr="00584929">
              <w:rPr>
                <w:rFonts w:ascii="Times New Roman" w:hAnsi="Times New Roman" w:cs="Times New Roman"/>
              </w:rPr>
              <w:t>rodzajów działalno</w:t>
            </w:r>
            <w:r w:rsidR="003204F0" w:rsidRPr="00584929">
              <w:rPr>
                <w:rFonts w:ascii="Times New Roman" w:hAnsi="Times New Roman" w:cs="Times New Roman"/>
              </w:rPr>
              <w:t>ści sektorowej, o której mowa w </w:t>
            </w:r>
            <w:r w:rsidRPr="00584929">
              <w:rPr>
                <w:rFonts w:ascii="Times New Roman" w:hAnsi="Times New Roman" w:cs="Times New Roman"/>
              </w:rPr>
              <w:t>ustawie – Prawo zamówień publicznych (np. transport kolejow</w:t>
            </w:r>
            <w:r w:rsidR="003204F0" w:rsidRPr="00584929">
              <w:rPr>
                <w:rFonts w:ascii="Times New Roman" w:hAnsi="Times New Roman" w:cs="Times New Roman"/>
              </w:rPr>
              <w:t>y, autobusowy), podmioty, które działają w </w:t>
            </w:r>
            <w:r w:rsidRPr="00584929">
              <w:rPr>
                <w:rFonts w:ascii="Times New Roman" w:hAnsi="Times New Roman" w:cs="Times New Roman"/>
              </w:rPr>
              <w:t>charakterze podmiotów świadczących usługi p</w:t>
            </w:r>
            <w:r w:rsidR="001D6AAD" w:rsidRPr="00584929">
              <w:rPr>
                <w:rFonts w:ascii="Times New Roman" w:hAnsi="Times New Roman" w:cs="Times New Roman"/>
              </w:rPr>
              <w:t>ubliczne określone w </w:t>
            </w:r>
            <w:r w:rsidRPr="00584929">
              <w:rPr>
                <w:rFonts w:ascii="Times New Roman" w:hAnsi="Times New Roman" w:cs="Times New Roman"/>
              </w:rPr>
              <w:t>przywołanym rozporządzeniu Parlamentu Europejskiego i Rady, czy</w:t>
            </w:r>
            <w:r w:rsidR="003204F0" w:rsidRPr="00584929">
              <w:rPr>
                <w:rFonts w:ascii="Times New Roman" w:hAnsi="Times New Roman" w:cs="Times New Roman"/>
              </w:rPr>
              <w:t xml:space="preserve"> też podmioty, które działają w </w:t>
            </w:r>
            <w:r w:rsidRPr="00584929">
              <w:rPr>
                <w:rFonts w:ascii="Times New Roman" w:hAnsi="Times New Roman" w:cs="Times New Roman"/>
              </w:rPr>
              <w:t>charakterze przewoźników lotniczych wykonujących obowiązki użyteczności publicznej. W związku z tym rodzi się szereg pytań, które spółki i z jakim udziałem Skarbu Państwa będą uważane za podmioty zobowiązane w rozumieniu tej us</w:t>
            </w:r>
            <w:r w:rsidR="003204F0" w:rsidRPr="00584929">
              <w:rPr>
                <w:rFonts w:ascii="Times New Roman" w:hAnsi="Times New Roman" w:cs="Times New Roman"/>
              </w:rPr>
              <w:t>tawy. Zdefiniowanie podmiotów w </w:t>
            </w:r>
            <w:r w:rsidRPr="00584929">
              <w:rPr>
                <w:rFonts w:ascii="Times New Roman" w:hAnsi="Times New Roman" w:cs="Times New Roman"/>
              </w:rPr>
              <w:t>powyższy spos</w:t>
            </w:r>
            <w:r w:rsidR="001D6AAD" w:rsidRPr="00584929">
              <w:rPr>
                <w:rFonts w:ascii="Times New Roman" w:hAnsi="Times New Roman" w:cs="Times New Roman"/>
              </w:rPr>
              <w:t xml:space="preserve">ób w praktyce może rodzić wiele </w:t>
            </w:r>
            <w:r w:rsidRPr="00584929">
              <w:rPr>
                <w:rFonts w:ascii="Times New Roman" w:hAnsi="Times New Roman" w:cs="Times New Roman"/>
              </w:rPr>
              <w:t>wątpliwości. Ponadto, nie jest jasne jakie informacje, którymi dysponują spółki należy uznać za informacje sektora publicznego podlegające regulacjom usta</w:t>
            </w:r>
            <w:r w:rsidR="003204F0" w:rsidRPr="00584929">
              <w:rPr>
                <w:rFonts w:ascii="Times New Roman" w:hAnsi="Times New Roman" w:cs="Times New Roman"/>
              </w:rPr>
              <w:t>wy, a </w:t>
            </w:r>
            <w:r w:rsidRPr="00584929">
              <w:rPr>
                <w:rFonts w:ascii="Times New Roman" w:hAnsi="Times New Roman" w:cs="Times New Roman"/>
              </w:rPr>
              <w:t>także w jakim zakresie i w jakich sytuacjach na spółce będzie ciążył obowiązek udostępnienia lub przekazania tego rodzaju informacji oraz jaki będzie skutek dla spółki niewykonania takiego obowiązku. Ponieważ spółki prawa handlowego swą formą organizacyjnoprawną i celami różnią się istotnie od pozostałych podmiotów</w:t>
            </w:r>
            <w:r w:rsidR="001D6AAD" w:rsidRPr="00584929">
              <w:rPr>
                <w:rFonts w:ascii="Times New Roman" w:hAnsi="Times New Roman" w:cs="Times New Roman"/>
              </w:rPr>
              <w:t xml:space="preserve"> wymienionych w art. 3 choćby z </w:t>
            </w:r>
            <w:r w:rsidR="003204F0" w:rsidRPr="00584929">
              <w:rPr>
                <w:rFonts w:ascii="Times New Roman" w:hAnsi="Times New Roman" w:cs="Times New Roman"/>
              </w:rPr>
              <w:t>racji tego, że działają w </w:t>
            </w:r>
            <w:r w:rsidRPr="00584929">
              <w:rPr>
                <w:rFonts w:ascii="Times New Roman" w:hAnsi="Times New Roman" w:cs="Times New Roman"/>
              </w:rPr>
              <w:t xml:space="preserve">oparciu o przepisy Kodeksu </w:t>
            </w:r>
            <w:r w:rsidR="001D6AAD" w:rsidRPr="00584929">
              <w:rPr>
                <w:rFonts w:ascii="Times New Roman" w:hAnsi="Times New Roman" w:cs="Times New Roman"/>
              </w:rPr>
              <w:t xml:space="preserve">prawa handlowego tak jak spółki </w:t>
            </w:r>
            <w:r w:rsidRPr="00584929">
              <w:rPr>
                <w:rFonts w:ascii="Times New Roman" w:hAnsi="Times New Roman" w:cs="Times New Roman"/>
              </w:rPr>
              <w:t>prywatne oraz pro</w:t>
            </w:r>
            <w:r w:rsidR="003204F0" w:rsidRPr="00584929">
              <w:rPr>
                <w:rFonts w:ascii="Times New Roman" w:hAnsi="Times New Roman" w:cs="Times New Roman"/>
              </w:rPr>
              <w:t>wadzą działalność gospodarczą i </w:t>
            </w:r>
            <w:r w:rsidRPr="00584929">
              <w:rPr>
                <w:rFonts w:ascii="Times New Roman" w:hAnsi="Times New Roman" w:cs="Times New Roman"/>
              </w:rPr>
              <w:t xml:space="preserve">konkurują na rynku, to zakwalifikowanie ich do podmiotów zobowiązanych w rozumieniu przedmiotowej ustawy, z czym wiążą się dodatkowe </w:t>
            </w:r>
            <w:r w:rsidRPr="00584929">
              <w:rPr>
                <w:rFonts w:ascii="Times New Roman" w:hAnsi="Times New Roman" w:cs="Times New Roman"/>
              </w:rPr>
              <w:lastRenderedPageBreak/>
              <w:t>obowiązki/ograniczenia/obciążenia może być istotne dla ich działalności.</w:t>
            </w:r>
          </w:p>
          <w:p w14:paraId="66BBEBEB" w14:textId="37C817C2" w:rsidR="00DC62FA" w:rsidRPr="00584929" w:rsidRDefault="00DC62FA" w:rsidP="001D6AAD">
            <w:pPr>
              <w:jc w:val="both"/>
              <w:rPr>
                <w:rFonts w:ascii="Times New Roman" w:hAnsi="Times New Roman" w:cs="Times New Roman"/>
              </w:rPr>
            </w:pPr>
            <w:r w:rsidRPr="00584929">
              <w:rPr>
                <w:rFonts w:ascii="Times New Roman" w:hAnsi="Times New Roman" w:cs="Times New Roman"/>
              </w:rPr>
              <w:t>Z powyższych względów, z uwagi na wykonywanie przez Ministra Aktywów Państwowych praw z akcji i udziałów Skarbu Państwa w wielu spółkach prawa handlowego zwracam się o udzielenie powyższych wyjaśnień. Pomoże to rozwiać rodzące si</w:t>
            </w:r>
            <w:r w:rsidR="003204F0" w:rsidRPr="00584929">
              <w:rPr>
                <w:rFonts w:ascii="Times New Roman" w:hAnsi="Times New Roman" w:cs="Times New Roman"/>
              </w:rPr>
              <w:t>ę wątpliwości lub niejasności i </w:t>
            </w:r>
            <w:r w:rsidRPr="00584929">
              <w:rPr>
                <w:rFonts w:ascii="Times New Roman" w:hAnsi="Times New Roman" w:cs="Times New Roman"/>
              </w:rPr>
              <w:t>ewentualnie skorygować w projekcie ustawy dostrzeżone kwestie problematyczne.</w:t>
            </w:r>
          </w:p>
        </w:tc>
        <w:tc>
          <w:tcPr>
            <w:tcW w:w="4785" w:type="dxa"/>
            <w:shd w:val="clear" w:color="auto" w:fill="auto"/>
          </w:tcPr>
          <w:p w14:paraId="644633E9" w14:textId="77777777" w:rsidR="00DC62FA" w:rsidRPr="00584929" w:rsidRDefault="00DC62FA" w:rsidP="004A29FC">
            <w:pPr>
              <w:rPr>
                <w:rFonts w:ascii="Times New Roman" w:hAnsi="Times New Roman" w:cs="Times New Roman"/>
                <w:b/>
              </w:rPr>
            </w:pPr>
            <w:r w:rsidRPr="00584929">
              <w:rPr>
                <w:rFonts w:ascii="Times New Roman" w:hAnsi="Times New Roman" w:cs="Times New Roman"/>
                <w:b/>
              </w:rPr>
              <w:lastRenderedPageBreak/>
              <w:t>Uwaga wyjaśniona</w:t>
            </w:r>
          </w:p>
          <w:p w14:paraId="5242FC51" w14:textId="409BC43E" w:rsidR="00F22E24" w:rsidRPr="00584929" w:rsidRDefault="00F22E24" w:rsidP="005B06A0">
            <w:pPr>
              <w:jc w:val="both"/>
              <w:rPr>
                <w:rFonts w:ascii="Times New Roman" w:hAnsi="Times New Roman" w:cs="Times New Roman"/>
              </w:rPr>
            </w:pPr>
            <w:r w:rsidRPr="00584929">
              <w:rPr>
                <w:rFonts w:ascii="Times New Roman" w:hAnsi="Times New Roman" w:cs="Times New Roman"/>
              </w:rPr>
              <w:t>Projekt ustawy wyznacza zamknięty katalog podmiotów</w:t>
            </w:r>
            <w:r w:rsidR="00423648" w:rsidRPr="00584929">
              <w:rPr>
                <w:rFonts w:ascii="Times New Roman" w:hAnsi="Times New Roman" w:cs="Times New Roman"/>
              </w:rPr>
              <w:t xml:space="preserve"> zobowiązanych</w:t>
            </w:r>
            <w:r w:rsidRPr="00584929">
              <w:rPr>
                <w:rFonts w:ascii="Times New Roman" w:hAnsi="Times New Roman" w:cs="Times New Roman"/>
              </w:rPr>
              <w:t>, kt</w:t>
            </w:r>
            <w:r w:rsidR="005B06A0" w:rsidRPr="00584929">
              <w:rPr>
                <w:rFonts w:ascii="Times New Roman" w:hAnsi="Times New Roman" w:cs="Times New Roman"/>
              </w:rPr>
              <w:t>óre udostępniają lub przekazują ISP</w:t>
            </w:r>
            <w:r w:rsidRPr="00584929">
              <w:rPr>
                <w:rFonts w:ascii="Times New Roman" w:hAnsi="Times New Roman" w:cs="Times New Roman"/>
              </w:rPr>
              <w:t xml:space="preserve"> w celu ich ponownego</w:t>
            </w:r>
            <w:r w:rsidR="005B06A0" w:rsidRPr="00584929">
              <w:rPr>
                <w:rFonts w:ascii="Times New Roman" w:hAnsi="Times New Roman" w:cs="Times New Roman"/>
              </w:rPr>
              <w:t xml:space="preserve"> </w:t>
            </w:r>
            <w:r w:rsidR="00423648" w:rsidRPr="00584929">
              <w:rPr>
                <w:rFonts w:ascii="Times New Roman" w:hAnsi="Times New Roman" w:cs="Times New Roman"/>
              </w:rPr>
              <w:t xml:space="preserve">wykorzystywania. </w:t>
            </w:r>
            <w:r w:rsidRPr="00584929">
              <w:rPr>
                <w:rFonts w:ascii="Times New Roman" w:hAnsi="Times New Roman" w:cs="Times New Roman"/>
              </w:rPr>
              <w:t>Katalog ten odzwierciedla zakres podmiotowy dyrektywy</w:t>
            </w:r>
            <w:r w:rsidR="005B06A0" w:rsidRPr="00584929">
              <w:rPr>
                <w:rFonts w:ascii="Times New Roman" w:hAnsi="Times New Roman" w:cs="Times New Roman"/>
              </w:rPr>
              <w:t xml:space="preserve"> </w:t>
            </w:r>
            <w:r w:rsidRPr="00584929">
              <w:rPr>
                <w:rFonts w:ascii="Times New Roman" w:hAnsi="Times New Roman" w:cs="Times New Roman"/>
              </w:rPr>
              <w:t xml:space="preserve">2019/1024/UE </w:t>
            </w:r>
            <w:r w:rsidR="005B06A0" w:rsidRPr="00584929">
              <w:rPr>
                <w:rFonts w:ascii="Times New Roman" w:hAnsi="Times New Roman" w:cs="Times New Roman"/>
              </w:rPr>
              <w:t>i w </w:t>
            </w:r>
            <w:r w:rsidRPr="00584929">
              <w:rPr>
                <w:rFonts w:ascii="Times New Roman" w:hAnsi="Times New Roman" w:cs="Times New Roman"/>
              </w:rPr>
              <w:t>zasadniczej części (obejmującej podmioty wskazane w art. 3 pkt 1-4 pro</w:t>
            </w:r>
            <w:r w:rsidR="005B06A0" w:rsidRPr="00584929">
              <w:rPr>
                <w:rFonts w:ascii="Times New Roman" w:hAnsi="Times New Roman" w:cs="Times New Roman"/>
              </w:rPr>
              <w:t xml:space="preserve">jektu ustawy) jest </w:t>
            </w:r>
            <w:r w:rsidRPr="00584929">
              <w:rPr>
                <w:rFonts w:ascii="Times New Roman" w:hAnsi="Times New Roman" w:cs="Times New Roman"/>
              </w:rPr>
              <w:t>tożsamy z katalogiem podmiotów zobowiązanych wyznaczonym przez obecnie obowiązującą</w:t>
            </w:r>
            <w:r w:rsidR="005B06A0" w:rsidRPr="00584929">
              <w:rPr>
                <w:rFonts w:ascii="Times New Roman" w:hAnsi="Times New Roman" w:cs="Times New Roman"/>
              </w:rPr>
              <w:t xml:space="preserve"> ustawę z </w:t>
            </w:r>
            <w:r w:rsidRPr="00584929">
              <w:rPr>
                <w:rFonts w:ascii="Times New Roman" w:hAnsi="Times New Roman" w:cs="Times New Roman"/>
              </w:rPr>
              <w:t>2016 r. Różnice pomiędzy dotychczasowym stanem prawnym, a projektem</w:t>
            </w:r>
            <w:r w:rsidR="005B06A0" w:rsidRPr="00584929">
              <w:rPr>
                <w:rFonts w:ascii="Times New Roman" w:hAnsi="Times New Roman" w:cs="Times New Roman"/>
              </w:rPr>
              <w:t xml:space="preserve"> </w:t>
            </w:r>
            <w:r w:rsidRPr="00584929">
              <w:rPr>
                <w:rFonts w:ascii="Times New Roman" w:hAnsi="Times New Roman" w:cs="Times New Roman"/>
              </w:rPr>
              <w:t>ustawy dotyczą poszerzenia kat</w:t>
            </w:r>
            <w:r w:rsidR="005B06A0" w:rsidRPr="00584929">
              <w:rPr>
                <w:rFonts w:ascii="Times New Roman" w:hAnsi="Times New Roman" w:cs="Times New Roman"/>
              </w:rPr>
              <w:t>alogu podmiotów zobowiązanych o </w:t>
            </w:r>
            <w:r w:rsidRPr="00584929">
              <w:rPr>
                <w:rFonts w:ascii="Times New Roman" w:hAnsi="Times New Roman" w:cs="Times New Roman"/>
              </w:rPr>
              <w:t>nową kategorię</w:t>
            </w:r>
            <w:r w:rsidR="005B06A0" w:rsidRPr="00584929">
              <w:rPr>
                <w:rFonts w:ascii="Times New Roman" w:hAnsi="Times New Roman" w:cs="Times New Roman"/>
              </w:rPr>
              <w:t xml:space="preserve"> podmiotów mieszczących się w </w:t>
            </w:r>
            <w:r w:rsidRPr="00584929">
              <w:rPr>
                <w:rFonts w:ascii="Times New Roman" w:hAnsi="Times New Roman" w:cs="Times New Roman"/>
              </w:rPr>
              <w:t>zakresie definicj</w:t>
            </w:r>
            <w:r w:rsidR="005B06A0" w:rsidRPr="00584929">
              <w:rPr>
                <w:rFonts w:ascii="Times New Roman" w:hAnsi="Times New Roman" w:cs="Times New Roman"/>
              </w:rPr>
              <w:t xml:space="preserve">i przedsiębiorstw publicznych w rozumieniu </w:t>
            </w:r>
            <w:r w:rsidRPr="00584929">
              <w:rPr>
                <w:rFonts w:ascii="Times New Roman" w:hAnsi="Times New Roman" w:cs="Times New Roman"/>
              </w:rPr>
              <w:t>dyrektywy 2019/1024/UE. Poszerzenie zakresu podmiotowego w projekcie ustawy</w:t>
            </w:r>
            <w:r w:rsidR="005B06A0" w:rsidRPr="00584929">
              <w:rPr>
                <w:rFonts w:ascii="Times New Roman" w:hAnsi="Times New Roman" w:cs="Times New Roman"/>
              </w:rPr>
              <w:t xml:space="preserve"> </w:t>
            </w:r>
            <w:r w:rsidRPr="00584929">
              <w:rPr>
                <w:rFonts w:ascii="Times New Roman" w:hAnsi="Times New Roman" w:cs="Times New Roman"/>
              </w:rPr>
              <w:t>podyktowane zostało objęciem regulacjami dyrektywy 2019/1024/UE dokumentów</w:t>
            </w:r>
            <w:r w:rsidR="005B06A0" w:rsidRPr="00584929">
              <w:rPr>
                <w:rFonts w:ascii="Times New Roman" w:hAnsi="Times New Roman" w:cs="Times New Roman"/>
              </w:rPr>
              <w:t xml:space="preserve"> </w:t>
            </w:r>
            <w:r w:rsidRPr="00584929">
              <w:rPr>
                <w:rFonts w:ascii="Times New Roman" w:hAnsi="Times New Roman" w:cs="Times New Roman"/>
              </w:rPr>
              <w:t>(</w:t>
            </w:r>
            <w:r w:rsidR="009D3EF2" w:rsidRPr="00584929">
              <w:rPr>
                <w:rFonts w:ascii="Times New Roman" w:hAnsi="Times New Roman" w:cs="Times New Roman"/>
              </w:rPr>
              <w:t>ISP</w:t>
            </w:r>
            <w:r w:rsidRPr="00584929">
              <w:rPr>
                <w:rFonts w:ascii="Times New Roman" w:hAnsi="Times New Roman" w:cs="Times New Roman"/>
              </w:rPr>
              <w:t>) wytwarzanych przy realizacji usług świadczonych</w:t>
            </w:r>
            <w:r w:rsidR="005B06A0" w:rsidRPr="00584929">
              <w:rPr>
                <w:rFonts w:ascii="Times New Roman" w:hAnsi="Times New Roman" w:cs="Times New Roman"/>
              </w:rPr>
              <w:t xml:space="preserve"> </w:t>
            </w:r>
            <w:r w:rsidR="009D3EF2" w:rsidRPr="00584929">
              <w:rPr>
                <w:rFonts w:ascii="Times New Roman" w:hAnsi="Times New Roman" w:cs="Times New Roman"/>
              </w:rPr>
              <w:t>w </w:t>
            </w:r>
            <w:r w:rsidRPr="00584929">
              <w:rPr>
                <w:rFonts w:ascii="Times New Roman" w:hAnsi="Times New Roman" w:cs="Times New Roman"/>
              </w:rPr>
              <w:t>interesie ogólnym przez przedsiębiorstwa publiczne prowadzące działalności w wybranych</w:t>
            </w:r>
            <w:r w:rsidR="005B06A0" w:rsidRPr="00584929">
              <w:rPr>
                <w:rFonts w:ascii="Times New Roman" w:hAnsi="Times New Roman" w:cs="Times New Roman"/>
              </w:rPr>
              <w:t xml:space="preserve"> </w:t>
            </w:r>
            <w:r w:rsidRPr="00584929">
              <w:rPr>
                <w:rFonts w:ascii="Times New Roman" w:hAnsi="Times New Roman" w:cs="Times New Roman"/>
              </w:rPr>
              <w:t>obszarach (art. 1 ust. 1 lit. b oraz art. 2 pkt 3 dyrektywy 2019/1024/UE).</w:t>
            </w:r>
            <w:r w:rsidR="005B06A0" w:rsidRPr="00584929">
              <w:rPr>
                <w:rFonts w:ascii="Times New Roman" w:hAnsi="Times New Roman" w:cs="Times New Roman"/>
              </w:rPr>
              <w:t xml:space="preserve"> </w:t>
            </w:r>
            <w:r w:rsidRPr="00584929">
              <w:rPr>
                <w:rFonts w:ascii="Times New Roman" w:hAnsi="Times New Roman" w:cs="Times New Roman"/>
              </w:rPr>
              <w:t>Mając na uwadze rozwiązania przyjęte w dyrektywie 2019/1024/UE, w której definicję</w:t>
            </w:r>
            <w:r w:rsidR="005B06A0" w:rsidRPr="00584929">
              <w:rPr>
                <w:rFonts w:ascii="Times New Roman" w:hAnsi="Times New Roman" w:cs="Times New Roman"/>
              </w:rPr>
              <w:t xml:space="preserve"> </w:t>
            </w:r>
            <w:r w:rsidRPr="00584929">
              <w:rPr>
                <w:rFonts w:ascii="Times New Roman" w:hAnsi="Times New Roman" w:cs="Times New Roman"/>
              </w:rPr>
              <w:t xml:space="preserve">przedsiębiorstwa publicznego sformułowano w oparciu o przepisy </w:t>
            </w:r>
            <w:r w:rsidR="00423648" w:rsidRPr="00584929">
              <w:rPr>
                <w:rFonts w:ascii="Times New Roman" w:hAnsi="Times New Roman" w:cs="Times New Roman"/>
              </w:rPr>
              <w:t>dyrektywy Parlamentu Eu</w:t>
            </w:r>
            <w:r w:rsidR="009D3EF2" w:rsidRPr="00584929">
              <w:rPr>
                <w:rFonts w:ascii="Times New Roman" w:hAnsi="Times New Roman" w:cs="Times New Roman"/>
              </w:rPr>
              <w:t>ropejskiego i Rady 2014/25/UE z </w:t>
            </w:r>
            <w:r w:rsidR="00423648" w:rsidRPr="00584929">
              <w:rPr>
                <w:rFonts w:ascii="Times New Roman" w:hAnsi="Times New Roman" w:cs="Times New Roman"/>
              </w:rPr>
              <w:t>dnia 26 lutego 2014 r. w sprawie udzielania zamówień przez podmioty działające w sektorach gospodarki wodnej, energetyki, transportu i usług pocztowych, uchylającej dyrektywę 2004/17/WE (Dz. Urz. UE L 94 z 28.03.2014, str. 243, z późn. zm.)</w:t>
            </w:r>
            <w:r w:rsidRPr="00584929">
              <w:rPr>
                <w:rFonts w:ascii="Times New Roman" w:hAnsi="Times New Roman" w:cs="Times New Roman"/>
              </w:rPr>
              <w:t>,</w:t>
            </w:r>
            <w:r w:rsidR="005B06A0" w:rsidRPr="00584929">
              <w:rPr>
                <w:rFonts w:ascii="Times New Roman" w:hAnsi="Times New Roman" w:cs="Times New Roman"/>
              </w:rPr>
              <w:t xml:space="preserve"> </w:t>
            </w:r>
            <w:r w:rsidRPr="00584929">
              <w:rPr>
                <w:rFonts w:ascii="Times New Roman" w:hAnsi="Times New Roman" w:cs="Times New Roman"/>
              </w:rPr>
              <w:t>art. 3 pkt 5 projektu ustawy w zasadniczej części wzorowano na art. 5 ust. 1 pkt 2 ustawy</w:t>
            </w:r>
            <w:r w:rsidR="005B06A0" w:rsidRPr="00584929">
              <w:rPr>
                <w:rFonts w:ascii="Times New Roman" w:hAnsi="Times New Roman" w:cs="Times New Roman"/>
              </w:rPr>
              <w:t xml:space="preserve"> </w:t>
            </w:r>
            <w:r w:rsidRPr="00584929">
              <w:rPr>
                <w:rFonts w:ascii="Times New Roman" w:hAnsi="Times New Roman" w:cs="Times New Roman"/>
              </w:rPr>
              <w:t xml:space="preserve">z dnia </w:t>
            </w:r>
            <w:r w:rsidRPr="00584929">
              <w:rPr>
                <w:rFonts w:ascii="Times New Roman" w:hAnsi="Times New Roman" w:cs="Times New Roman"/>
              </w:rPr>
              <w:lastRenderedPageBreak/>
              <w:t xml:space="preserve">11 września 2019 </w:t>
            </w:r>
            <w:r w:rsidR="005B06A0" w:rsidRPr="00584929">
              <w:rPr>
                <w:rFonts w:ascii="Times New Roman" w:hAnsi="Times New Roman" w:cs="Times New Roman"/>
              </w:rPr>
              <w:t>r. – Prawo zamówień publicznych</w:t>
            </w:r>
            <w:r w:rsidR="00423648" w:rsidRPr="00584929">
              <w:rPr>
                <w:rFonts w:ascii="Times New Roman" w:hAnsi="Times New Roman" w:cs="Times New Roman"/>
              </w:rPr>
              <w:t xml:space="preserve"> (Dz. U. z 2019 r. poz. 2019, z późn. zm.)</w:t>
            </w:r>
            <w:r w:rsidRPr="00584929">
              <w:rPr>
                <w:rFonts w:ascii="Times New Roman" w:hAnsi="Times New Roman" w:cs="Times New Roman"/>
              </w:rPr>
              <w:t>. Wskazana ustawa dokonuje</w:t>
            </w:r>
            <w:r w:rsidR="005B06A0" w:rsidRPr="00584929">
              <w:rPr>
                <w:rFonts w:ascii="Times New Roman" w:hAnsi="Times New Roman" w:cs="Times New Roman"/>
              </w:rPr>
              <w:t xml:space="preserve"> </w:t>
            </w:r>
            <w:r w:rsidRPr="00584929">
              <w:rPr>
                <w:rFonts w:ascii="Times New Roman" w:hAnsi="Times New Roman" w:cs="Times New Roman"/>
              </w:rPr>
              <w:t>w zakresie swojej regulacji wdrożenia postanowień dyrektyw unijnych dotyczących</w:t>
            </w:r>
            <w:r w:rsidR="005B06A0" w:rsidRPr="00584929">
              <w:rPr>
                <w:rFonts w:ascii="Times New Roman" w:hAnsi="Times New Roman" w:cs="Times New Roman"/>
              </w:rPr>
              <w:t xml:space="preserve"> </w:t>
            </w:r>
            <w:r w:rsidRPr="00584929">
              <w:rPr>
                <w:rFonts w:ascii="Times New Roman" w:hAnsi="Times New Roman" w:cs="Times New Roman"/>
              </w:rPr>
              <w:t>zamów</w:t>
            </w:r>
            <w:r w:rsidR="009D3EF2" w:rsidRPr="00584929">
              <w:rPr>
                <w:rFonts w:ascii="Times New Roman" w:hAnsi="Times New Roman" w:cs="Times New Roman"/>
              </w:rPr>
              <w:t>ień publicznych. Zgodnie z art. </w:t>
            </w:r>
            <w:r w:rsidRPr="00584929">
              <w:rPr>
                <w:rFonts w:ascii="Times New Roman" w:hAnsi="Times New Roman" w:cs="Times New Roman"/>
              </w:rPr>
              <w:t>3 pkt 5 projektu ustawy podmiotami zobowiązanymi</w:t>
            </w:r>
            <w:r w:rsidR="005B06A0" w:rsidRPr="00584929">
              <w:rPr>
                <w:rFonts w:ascii="Times New Roman" w:hAnsi="Times New Roman" w:cs="Times New Roman"/>
              </w:rPr>
              <w:t xml:space="preserve"> </w:t>
            </w:r>
            <w:r w:rsidRPr="00584929">
              <w:rPr>
                <w:rFonts w:ascii="Times New Roman" w:hAnsi="Times New Roman" w:cs="Times New Roman"/>
              </w:rPr>
              <w:t xml:space="preserve">do udostępniania lub przekazywania </w:t>
            </w:r>
            <w:r w:rsidR="009D3EF2" w:rsidRPr="00584929">
              <w:rPr>
                <w:rFonts w:ascii="Times New Roman" w:hAnsi="Times New Roman" w:cs="Times New Roman"/>
              </w:rPr>
              <w:t>ISP</w:t>
            </w:r>
            <w:r w:rsidR="00423648" w:rsidRPr="00584929">
              <w:rPr>
                <w:rFonts w:ascii="Times New Roman" w:hAnsi="Times New Roman" w:cs="Times New Roman"/>
              </w:rPr>
              <w:t xml:space="preserve"> w </w:t>
            </w:r>
            <w:r w:rsidRPr="00584929">
              <w:rPr>
                <w:rFonts w:ascii="Times New Roman" w:hAnsi="Times New Roman" w:cs="Times New Roman"/>
              </w:rPr>
              <w:t>celu ponownego</w:t>
            </w:r>
            <w:r w:rsidR="005B06A0" w:rsidRPr="00584929">
              <w:rPr>
                <w:rFonts w:ascii="Times New Roman" w:hAnsi="Times New Roman" w:cs="Times New Roman"/>
              </w:rPr>
              <w:t xml:space="preserve"> </w:t>
            </w:r>
            <w:r w:rsidRPr="00584929">
              <w:rPr>
                <w:rFonts w:ascii="Times New Roman" w:hAnsi="Times New Roman" w:cs="Times New Roman"/>
              </w:rPr>
              <w:t>wykorzy</w:t>
            </w:r>
            <w:r w:rsidR="009D3EF2" w:rsidRPr="00584929">
              <w:rPr>
                <w:rFonts w:ascii="Times New Roman" w:hAnsi="Times New Roman" w:cs="Times New Roman"/>
              </w:rPr>
              <w:t>stywania są inne niż wskazane w </w:t>
            </w:r>
            <w:r w:rsidRPr="00584929">
              <w:rPr>
                <w:rFonts w:ascii="Times New Roman" w:hAnsi="Times New Roman" w:cs="Times New Roman"/>
              </w:rPr>
              <w:t>przepisach art. 3 pkt 1-4 projektu ustawy podmioty,</w:t>
            </w:r>
            <w:r w:rsidR="005B06A0" w:rsidRPr="00584929">
              <w:rPr>
                <w:rFonts w:ascii="Times New Roman" w:hAnsi="Times New Roman" w:cs="Times New Roman"/>
              </w:rPr>
              <w:t xml:space="preserve"> </w:t>
            </w:r>
            <w:r w:rsidRPr="00584929">
              <w:rPr>
                <w:rFonts w:ascii="Times New Roman" w:hAnsi="Times New Roman" w:cs="Times New Roman"/>
              </w:rPr>
              <w:t>które:</w:t>
            </w:r>
          </w:p>
          <w:p w14:paraId="68499AC3" w14:textId="7FA5986B" w:rsidR="00F22E24" w:rsidRPr="00584929" w:rsidRDefault="00F22E24" w:rsidP="005B06A0">
            <w:pPr>
              <w:pStyle w:val="Akapitzlist"/>
              <w:numPr>
                <w:ilvl w:val="0"/>
                <w:numId w:val="24"/>
              </w:numPr>
              <w:ind w:left="317" w:hanging="284"/>
              <w:jc w:val="both"/>
              <w:rPr>
                <w:sz w:val="22"/>
                <w:szCs w:val="22"/>
              </w:rPr>
            </w:pPr>
            <w:r w:rsidRPr="00584929">
              <w:rPr>
                <w:sz w:val="22"/>
                <w:szCs w:val="22"/>
              </w:rPr>
              <w:t>wykonują jeden z rodzajów działalności sektorowej, o której mowa w art. 5</w:t>
            </w:r>
            <w:r w:rsidR="005B06A0" w:rsidRPr="00584929">
              <w:rPr>
                <w:sz w:val="22"/>
                <w:szCs w:val="22"/>
              </w:rPr>
              <w:t xml:space="preserve"> </w:t>
            </w:r>
            <w:r w:rsidRPr="00584929">
              <w:rPr>
                <w:sz w:val="22"/>
                <w:szCs w:val="22"/>
              </w:rPr>
              <w:t>ust. 4 ustawy – Prawo zamówień publicznych lub</w:t>
            </w:r>
          </w:p>
          <w:p w14:paraId="67CF5914" w14:textId="6B3D2AB2" w:rsidR="00F22E24" w:rsidRPr="00584929" w:rsidRDefault="00F22E24" w:rsidP="005B06A0">
            <w:pPr>
              <w:pStyle w:val="Akapitzlist"/>
              <w:numPr>
                <w:ilvl w:val="0"/>
                <w:numId w:val="24"/>
              </w:numPr>
              <w:ind w:left="317" w:hanging="284"/>
              <w:jc w:val="both"/>
              <w:rPr>
                <w:sz w:val="22"/>
                <w:szCs w:val="22"/>
              </w:rPr>
            </w:pPr>
            <w:r w:rsidRPr="00584929">
              <w:rPr>
                <w:sz w:val="22"/>
                <w:szCs w:val="22"/>
              </w:rPr>
              <w:t>działają w charakterze podmiotów świadczących usługi publiczne zgodnie</w:t>
            </w:r>
            <w:r w:rsidR="005B06A0" w:rsidRPr="00584929">
              <w:rPr>
                <w:sz w:val="22"/>
                <w:szCs w:val="22"/>
              </w:rPr>
              <w:t xml:space="preserve"> </w:t>
            </w:r>
            <w:r w:rsidRPr="00584929">
              <w:rPr>
                <w:sz w:val="22"/>
                <w:szCs w:val="22"/>
              </w:rPr>
              <w:t>z art. 2 rozporządzenia (WE) nr 1370/</w:t>
            </w:r>
            <w:r w:rsidR="005B06A0" w:rsidRPr="00584929">
              <w:rPr>
                <w:sz w:val="22"/>
                <w:szCs w:val="22"/>
              </w:rPr>
              <w:t>2007 Parlamentu Europejskiego i </w:t>
            </w:r>
            <w:r w:rsidRPr="00584929">
              <w:rPr>
                <w:sz w:val="22"/>
                <w:szCs w:val="22"/>
              </w:rPr>
              <w:t>Rady z dnia 23</w:t>
            </w:r>
            <w:r w:rsidR="005B06A0" w:rsidRPr="00584929">
              <w:rPr>
                <w:sz w:val="22"/>
                <w:szCs w:val="22"/>
              </w:rPr>
              <w:t xml:space="preserve"> </w:t>
            </w:r>
            <w:r w:rsidRPr="00584929">
              <w:rPr>
                <w:sz w:val="22"/>
                <w:szCs w:val="22"/>
              </w:rPr>
              <w:t>października 2007 r. dotyczącego usług publicznych w zakresie kolejowego</w:t>
            </w:r>
            <w:r w:rsidR="005B06A0" w:rsidRPr="00584929">
              <w:rPr>
                <w:sz w:val="22"/>
                <w:szCs w:val="22"/>
              </w:rPr>
              <w:t xml:space="preserve"> </w:t>
            </w:r>
            <w:r w:rsidRPr="00584929">
              <w:rPr>
                <w:sz w:val="22"/>
                <w:szCs w:val="22"/>
              </w:rPr>
              <w:t>i drogowego transportu pasażerskiego oraz uchylającego rozporządzenia Rady (EWG)</w:t>
            </w:r>
            <w:r w:rsidR="005B06A0" w:rsidRPr="00584929">
              <w:rPr>
                <w:sz w:val="22"/>
                <w:szCs w:val="22"/>
              </w:rPr>
              <w:t xml:space="preserve">  </w:t>
            </w:r>
            <w:r w:rsidRPr="00584929">
              <w:rPr>
                <w:sz w:val="22"/>
                <w:szCs w:val="22"/>
              </w:rPr>
              <w:t>nr 1191/69 i (EWG) nr 1107/70 ), lub</w:t>
            </w:r>
          </w:p>
          <w:p w14:paraId="366F50D1" w14:textId="17FDC968" w:rsidR="005B06A0" w:rsidRPr="00584929" w:rsidRDefault="00F22E24" w:rsidP="005B06A0">
            <w:pPr>
              <w:pStyle w:val="Akapitzlist"/>
              <w:numPr>
                <w:ilvl w:val="0"/>
                <w:numId w:val="24"/>
              </w:numPr>
              <w:ind w:left="317" w:hanging="284"/>
              <w:jc w:val="both"/>
              <w:rPr>
                <w:sz w:val="22"/>
                <w:szCs w:val="22"/>
              </w:rPr>
            </w:pPr>
            <w:r w:rsidRPr="00584929">
              <w:rPr>
                <w:sz w:val="22"/>
                <w:szCs w:val="22"/>
              </w:rPr>
              <w:t>działają w charakterze przewoźników lotniczych wykonujących obowiązki</w:t>
            </w:r>
            <w:r w:rsidR="005B06A0" w:rsidRPr="00584929">
              <w:rPr>
                <w:sz w:val="22"/>
                <w:szCs w:val="22"/>
              </w:rPr>
              <w:t xml:space="preserve"> </w:t>
            </w:r>
            <w:r w:rsidRPr="00584929">
              <w:rPr>
                <w:sz w:val="22"/>
                <w:szCs w:val="22"/>
              </w:rPr>
              <w:t>użyteczności publicznej zgodnie z art. 16 rozporządzenia (WE) nr 1008/2008 z dnia</w:t>
            </w:r>
            <w:r w:rsidR="005B06A0" w:rsidRPr="00584929">
              <w:rPr>
                <w:sz w:val="22"/>
                <w:szCs w:val="22"/>
              </w:rPr>
              <w:t xml:space="preserve"> 24 września 2008 r. w </w:t>
            </w:r>
            <w:r w:rsidRPr="00584929">
              <w:rPr>
                <w:sz w:val="22"/>
                <w:szCs w:val="22"/>
              </w:rPr>
              <w:t>sprawie wspólnych zasad wykonywania przewozów lotniczych</w:t>
            </w:r>
            <w:r w:rsidR="005B06A0" w:rsidRPr="00584929">
              <w:rPr>
                <w:sz w:val="22"/>
                <w:szCs w:val="22"/>
              </w:rPr>
              <w:t xml:space="preserve"> </w:t>
            </w:r>
            <w:r w:rsidRPr="00584929">
              <w:rPr>
                <w:sz w:val="22"/>
                <w:szCs w:val="22"/>
              </w:rPr>
              <w:t>na terenie Wspólnoty, lub</w:t>
            </w:r>
            <w:r w:rsidR="005B06A0" w:rsidRPr="00584929">
              <w:rPr>
                <w:sz w:val="22"/>
                <w:szCs w:val="22"/>
              </w:rPr>
              <w:t xml:space="preserve"> </w:t>
            </w:r>
          </w:p>
          <w:p w14:paraId="0AEA5992" w14:textId="72E81819" w:rsidR="00F22E24" w:rsidRPr="00584929" w:rsidRDefault="00F22E24" w:rsidP="005B06A0">
            <w:pPr>
              <w:pStyle w:val="Akapitzlist"/>
              <w:numPr>
                <w:ilvl w:val="0"/>
                <w:numId w:val="24"/>
              </w:numPr>
              <w:ind w:left="317" w:hanging="284"/>
              <w:jc w:val="both"/>
              <w:rPr>
                <w:sz w:val="22"/>
                <w:szCs w:val="22"/>
              </w:rPr>
            </w:pPr>
            <w:r w:rsidRPr="00584929">
              <w:rPr>
                <w:sz w:val="22"/>
                <w:szCs w:val="22"/>
              </w:rPr>
              <w:t>działają w charakterze armatorów Wspólnoty wykonujących zobowiązania z tytułu</w:t>
            </w:r>
            <w:r w:rsidR="005B06A0" w:rsidRPr="00584929">
              <w:rPr>
                <w:sz w:val="22"/>
                <w:szCs w:val="22"/>
              </w:rPr>
              <w:t xml:space="preserve"> </w:t>
            </w:r>
            <w:r w:rsidRPr="00584929">
              <w:rPr>
                <w:sz w:val="22"/>
                <w:szCs w:val="22"/>
              </w:rPr>
              <w:t>świadczenia usług publicznych zgodnie z art. 4 rozporządzenia Rady (EWG)</w:t>
            </w:r>
            <w:r w:rsidR="005B06A0" w:rsidRPr="00584929">
              <w:rPr>
                <w:sz w:val="22"/>
                <w:szCs w:val="22"/>
              </w:rPr>
              <w:t xml:space="preserve"> </w:t>
            </w:r>
            <w:r w:rsidRPr="00584929">
              <w:rPr>
                <w:sz w:val="22"/>
                <w:szCs w:val="22"/>
              </w:rPr>
              <w:t>nr 3577/92 z dnia 7 grudnia 1992 r. dotyczącego stosowania zasady swobody</w:t>
            </w:r>
            <w:r w:rsidR="005B06A0" w:rsidRPr="00584929">
              <w:rPr>
                <w:sz w:val="22"/>
                <w:szCs w:val="22"/>
              </w:rPr>
              <w:t xml:space="preserve"> świadczenia usług </w:t>
            </w:r>
            <w:r w:rsidR="005B06A0" w:rsidRPr="00584929">
              <w:rPr>
                <w:sz w:val="22"/>
                <w:szCs w:val="22"/>
              </w:rPr>
              <w:lastRenderedPageBreak/>
              <w:t>w </w:t>
            </w:r>
            <w:r w:rsidRPr="00584929">
              <w:rPr>
                <w:sz w:val="22"/>
                <w:szCs w:val="22"/>
              </w:rPr>
              <w:t>transporcie morskim w obrębie Państw Członkowskich (kabotaż</w:t>
            </w:r>
            <w:r w:rsidR="005B06A0" w:rsidRPr="00584929">
              <w:rPr>
                <w:sz w:val="22"/>
                <w:szCs w:val="22"/>
              </w:rPr>
              <w:t xml:space="preserve"> </w:t>
            </w:r>
            <w:r w:rsidRPr="00584929">
              <w:rPr>
                <w:sz w:val="22"/>
                <w:szCs w:val="22"/>
              </w:rPr>
              <w:t>morski).</w:t>
            </w:r>
          </w:p>
          <w:p w14:paraId="5B7AEEFC" w14:textId="58C329BC" w:rsidR="00F22E24" w:rsidRPr="00584929" w:rsidRDefault="00F22E24" w:rsidP="005B06A0">
            <w:pPr>
              <w:jc w:val="both"/>
              <w:rPr>
                <w:rFonts w:ascii="Times New Roman" w:hAnsi="Times New Roman" w:cs="Times New Roman"/>
              </w:rPr>
            </w:pPr>
            <w:r w:rsidRPr="00584929">
              <w:rPr>
                <w:rFonts w:ascii="Times New Roman" w:hAnsi="Times New Roman" w:cs="Times New Roman"/>
              </w:rPr>
              <w:t>Drugą niezbędną przesłanką, umożliwiającą zaliczenie określonego podmiotu do kategorii</w:t>
            </w:r>
            <w:r w:rsidR="005B06A0" w:rsidRPr="00584929">
              <w:rPr>
                <w:rFonts w:ascii="Times New Roman" w:hAnsi="Times New Roman" w:cs="Times New Roman"/>
              </w:rPr>
              <w:t xml:space="preserve"> </w:t>
            </w:r>
            <w:r w:rsidRPr="00584929">
              <w:rPr>
                <w:rFonts w:ascii="Times New Roman" w:hAnsi="Times New Roman" w:cs="Times New Roman"/>
              </w:rPr>
              <w:t>podmiotów zo</w:t>
            </w:r>
            <w:r w:rsidR="005B06A0" w:rsidRPr="00584929">
              <w:rPr>
                <w:rFonts w:ascii="Times New Roman" w:hAnsi="Times New Roman" w:cs="Times New Roman"/>
              </w:rPr>
              <w:t>bowiązanych, mieszczących się w </w:t>
            </w:r>
            <w:r w:rsidRPr="00584929">
              <w:rPr>
                <w:rFonts w:ascii="Times New Roman" w:hAnsi="Times New Roman" w:cs="Times New Roman"/>
              </w:rPr>
              <w:t>zakresie definicji przedsiębiorstwa</w:t>
            </w:r>
            <w:r w:rsidR="005B06A0" w:rsidRPr="00584929">
              <w:rPr>
                <w:rFonts w:ascii="Times New Roman" w:hAnsi="Times New Roman" w:cs="Times New Roman"/>
              </w:rPr>
              <w:t xml:space="preserve"> </w:t>
            </w:r>
            <w:r w:rsidRPr="00584929">
              <w:rPr>
                <w:rFonts w:ascii="Times New Roman" w:hAnsi="Times New Roman" w:cs="Times New Roman"/>
              </w:rPr>
              <w:t>publicznego (poza prowadzeniem działalności w wybranych obszarach), jest wywieranie</w:t>
            </w:r>
            <w:r w:rsidR="005B06A0" w:rsidRPr="00584929">
              <w:rPr>
                <w:rFonts w:ascii="Times New Roman" w:hAnsi="Times New Roman" w:cs="Times New Roman"/>
              </w:rPr>
              <w:t xml:space="preserve"> przez podmioty, o </w:t>
            </w:r>
            <w:r w:rsidRPr="00584929">
              <w:rPr>
                <w:rFonts w:ascii="Times New Roman" w:hAnsi="Times New Roman" w:cs="Times New Roman"/>
              </w:rPr>
              <w:t>których mowa w art. 3 pkt 1-4 projektu ustawy (pojedynczo lub wspólnie,</w:t>
            </w:r>
            <w:r w:rsidR="005B06A0" w:rsidRPr="00584929">
              <w:rPr>
                <w:rFonts w:ascii="Times New Roman" w:hAnsi="Times New Roman" w:cs="Times New Roman"/>
              </w:rPr>
              <w:t xml:space="preserve"> </w:t>
            </w:r>
            <w:r w:rsidRPr="00584929">
              <w:rPr>
                <w:rFonts w:ascii="Times New Roman" w:hAnsi="Times New Roman" w:cs="Times New Roman"/>
              </w:rPr>
              <w:t>bezpośrednio lub pośrednio przez inny podmiot) dominującego wpływu na podmioty</w:t>
            </w:r>
            <w:r w:rsidR="005B06A0" w:rsidRPr="00584929">
              <w:rPr>
                <w:rFonts w:ascii="Times New Roman" w:hAnsi="Times New Roman" w:cs="Times New Roman"/>
              </w:rPr>
              <w:t xml:space="preserve"> </w:t>
            </w:r>
            <w:r w:rsidRPr="00584929">
              <w:rPr>
                <w:rFonts w:ascii="Times New Roman" w:hAnsi="Times New Roman" w:cs="Times New Roman"/>
              </w:rPr>
              <w:t>wskazane w art. 3 pkt 5 projektu ustawy. Przez dominujący wpływ rozumie się</w:t>
            </w:r>
            <w:r w:rsidR="005B06A0" w:rsidRPr="00584929">
              <w:rPr>
                <w:rFonts w:ascii="Times New Roman" w:hAnsi="Times New Roman" w:cs="Times New Roman"/>
              </w:rPr>
              <w:t xml:space="preserve"> </w:t>
            </w:r>
            <w:r w:rsidRPr="00584929">
              <w:rPr>
                <w:rFonts w:ascii="Times New Roman" w:hAnsi="Times New Roman" w:cs="Times New Roman"/>
              </w:rPr>
              <w:t>w szczególności posiadanie:</w:t>
            </w:r>
          </w:p>
          <w:p w14:paraId="71F78225" w14:textId="5224E43E" w:rsidR="00F22E24" w:rsidRPr="00584929" w:rsidRDefault="00F22E24" w:rsidP="005B06A0">
            <w:pPr>
              <w:pStyle w:val="Akapitzlist"/>
              <w:numPr>
                <w:ilvl w:val="0"/>
                <w:numId w:val="25"/>
              </w:numPr>
              <w:ind w:left="317" w:hanging="284"/>
              <w:jc w:val="both"/>
              <w:rPr>
                <w:sz w:val="22"/>
                <w:szCs w:val="22"/>
              </w:rPr>
            </w:pPr>
            <w:r w:rsidRPr="00584929">
              <w:rPr>
                <w:sz w:val="22"/>
                <w:szCs w:val="22"/>
              </w:rPr>
              <w:t>ponad połowy udziałów albo akcji lub</w:t>
            </w:r>
          </w:p>
          <w:p w14:paraId="627A833A" w14:textId="6F5DA58C" w:rsidR="00F22E24" w:rsidRPr="00584929" w:rsidRDefault="00F22E24" w:rsidP="005B06A0">
            <w:pPr>
              <w:pStyle w:val="Akapitzlist"/>
              <w:numPr>
                <w:ilvl w:val="0"/>
                <w:numId w:val="25"/>
              </w:numPr>
              <w:ind w:left="317" w:hanging="284"/>
              <w:jc w:val="both"/>
              <w:rPr>
                <w:sz w:val="22"/>
                <w:szCs w:val="22"/>
              </w:rPr>
            </w:pPr>
            <w:r w:rsidRPr="00584929">
              <w:rPr>
                <w:sz w:val="22"/>
                <w:szCs w:val="22"/>
              </w:rPr>
              <w:t>ponad połowy głosów wynikających z udziałów albo akcji, lub</w:t>
            </w:r>
          </w:p>
          <w:p w14:paraId="7391B3F9" w14:textId="21B85A46" w:rsidR="00F22E24" w:rsidRPr="00584929" w:rsidRDefault="00F22E24" w:rsidP="005B06A0">
            <w:pPr>
              <w:pStyle w:val="Akapitzlist"/>
              <w:numPr>
                <w:ilvl w:val="0"/>
                <w:numId w:val="25"/>
              </w:numPr>
              <w:ind w:left="317" w:hanging="284"/>
              <w:jc w:val="both"/>
              <w:rPr>
                <w:sz w:val="22"/>
                <w:szCs w:val="22"/>
              </w:rPr>
            </w:pPr>
            <w:r w:rsidRPr="00584929">
              <w:rPr>
                <w:sz w:val="22"/>
                <w:szCs w:val="22"/>
              </w:rPr>
              <w:t>prawa do powoływania ponad połowy składu organu nadzorczego lub</w:t>
            </w:r>
            <w:r w:rsidR="005B06A0" w:rsidRPr="00584929">
              <w:rPr>
                <w:sz w:val="22"/>
                <w:szCs w:val="22"/>
              </w:rPr>
              <w:t xml:space="preserve"> </w:t>
            </w:r>
            <w:r w:rsidRPr="00584929">
              <w:rPr>
                <w:sz w:val="22"/>
                <w:szCs w:val="22"/>
              </w:rPr>
              <w:t>zarządzającego.</w:t>
            </w:r>
          </w:p>
          <w:p w14:paraId="021F3AF1" w14:textId="2CE5314C" w:rsidR="00F22E24" w:rsidRPr="00584929" w:rsidRDefault="00F22E24" w:rsidP="005B06A0">
            <w:pPr>
              <w:jc w:val="both"/>
              <w:rPr>
                <w:rFonts w:ascii="Times New Roman" w:hAnsi="Times New Roman" w:cs="Times New Roman"/>
              </w:rPr>
            </w:pPr>
            <w:r w:rsidRPr="00584929">
              <w:rPr>
                <w:rFonts w:ascii="Times New Roman" w:hAnsi="Times New Roman" w:cs="Times New Roman"/>
              </w:rPr>
              <w:t xml:space="preserve">Przepisy ustawowe nie będą jednak znajdować zastosowania do wszystkich </w:t>
            </w:r>
            <w:r w:rsidR="009D3EF2" w:rsidRPr="00584929">
              <w:rPr>
                <w:rFonts w:ascii="Times New Roman" w:hAnsi="Times New Roman" w:cs="Times New Roman"/>
              </w:rPr>
              <w:t>ISP będących w </w:t>
            </w:r>
            <w:r w:rsidRPr="00584929">
              <w:rPr>
                <w:rFonts w:ascii="Times New Roman" w:hAnsi="Times New Roman" w:cs="Times New Roman"/>
              </w:rPr>
              <w:t>posiadaniu przedsiębiorstw publicznych. W tym zakresie</w:t>
            </w:r>
            <w:r w:rsidR="005B06A0" w:rsidRPr="00584929">
              <w:rPr>
                <w:rFonts w:ascii="Times New Roman" w:hAnsi="Times New Roman" w:cs="Times New Roman"/>
              </w:rPr>
              <w:t xml:space="preserve"> w </w:t>
            </w:r>
            <w:r w:rsidRPr="00584929">
              <w:rPr>
                <w:rFonts w:ascii="Times New Roman" w:hAnsi="Times New Roman" w:cs="Times New Roman"/>
              </w:rPr>
              <w:t>projekcie prz</w:t>
            </w:r>
            <w:r w:rsidR="005B06A0" w:rsidRPr="00584929">
              <w:rPr>
                <w:rFonts w:ascii="Times New Roman" w:hAnsi="Times New Roman" w:cs="Times New Roman"/>
              </w:rPr>
              <w:t>ewidziano wyłączenia. Zgodnie z </w:t>
            </w:r>
            <w:r w:rsidRPr="00584929">
              <w:rPr>
                <w:rFonts w:ascii="Times New Roman" w:hAnsi="Times New Roman" w:cs="Times New Roman"/>
              </w:rPr>
              <w:t>art. 4 ust. 1 pkt 6 projektu przepisów ustawy</w:t>
            </w:r>
            <w:r w:rsidR="005B06A0" w:rsidRPr="00584929">
              <w:rPr>
                <w:rFonts w:ascii="Times New Roman" w:hAnsi="Times New Roman" w:cs="Times New Roman"/>
              </w:rPr>
              <w:t xml:space="preserve"> </w:t>
            </w:r>
            <w:r w:rsidRPr="00584929">
              <w:rPr>
                <w:rFonts w:ascii="Times New Roman" w:hAnsi="Times New Roman" w:cs="Times New Roman"/>
              </w:rPr>
              <w:t xml:space="preserve">nie stosuje się do </w:t>
            </w:r>
            <w:r w:rsidR="009D3EF2" w:rsidRPr="00584929">
              <w:rPr>
                <w:rFonts w:ascii="Times New Roman" w:hAnsi="Times New Roman" w:cs="Times New Roman"/>
              </w:rPr>
              <w:t>ISP</w:t>
            </w:r>
            <w:r w:rsidRPr="00584929">
              <w:rPr>
                <w:rFonts w:ascii="Times New Roman" w:hAnsi="Times New Roman" w:cs="Times New Roman"/>
              </w:rPr>
              <w:t xml:space="preserve"> będących w posiadaniu podmiotów,</w:t>
            </w:r>
            <w:r w:rsidR="005B06A0" w:rsidRPr="00584929">
              <w:rPr>
                <w:rFonts w:ascii="Times New Roman" w:hAnsi="Times New Roman" w:cs="Times New Roman"/>
              </w:rPr>
              <w:t xml:space="preserve"> </w:t>
            </w:r>
            <w:r w:rsidRPr="00584929">
              <w:rPr>
                <w:rFonts w:ascii="Times New Roman" w:hAnsi="Times New Roman" w:cs="Times New Roman"/>
              </w:rPr>
              <w:t xml:space="preserve">o których mowa w art. 3 pkt 5 </w:t>
            </w:r>
            <w:r w:rsidR="005B06A0" w:rsidRPr="00584929">
              <w:rPr>
                <w:rFonts w:ascii="Times New Roman" w:hAnsi="Times New Roman" w:cs="Times New Roman"/>
              </w:rPr>
              <w:t>(przedsiębiorstw publicznych) w </w:t>
            </w:r>
            <w:r w:rsidRPr="00584929">
              <w:rPr>
                <w:rFonts w:ascii="Times New Roman" w:hAnsi="Times New Roman" w:cs="Times New Roman"/>
              </w:rPr>
              <w:t>zakresie w jakim informacje</w:t>
            </w:r>
            <w:r w:rsidR="005B06A0" w:rsidRPr="00584929">
              <w:rPr>
                <w:rFonts w:ascii="Times New Roman" w:hAnsi="Times New Roman" w:cs="Times New Roman"/>
              </w:rPr>
              <w:t xml:space="preserve"> </w:t>
            </w:r>
            <w:r w:rsidRPr="00584929">
              <w:rPr>
                <w:rFonts w:ascii="Times New Roman" w:hAnsi="Times New Roman" w:cs="Times New Roman"/>
              </w:rPr>
              <w:t>te:</w:t>
            </w:r>
          </w:p>
          <w:p w14:paraId="0324D877" w14:textId="23157706" w:rsidR="00F22E24" w:rsidRPr="00584929" w:rsidRDefault="00F22E24" w:rsidP="005B06A0">
            <w:pPr>
              <w:pStyle w:val="Akapitzlist"/>
              <w:numPr>
                <w:ilvl w:val="0"/>
                <w:numId w:val="26"/>
              </w:numPr>
              <w:ind w:left="317" w:hanging="284"/>
              <w:jc w:val="both"/>
              <w:rPr>
                <w:sz w:val="22"/>
                <w:szCs w:val="22"/>
              </w:rPr>
            </w:pPr>
            <w:r w:rsidRPr="00584929">
              <w:rPr>
                <w:sz w:val="22"/>
                <w:szCs w:val="22"/>
              </w:rPr>
              <w:t>wytworzone zostały poza zakresem zadań publicznych,</w:t>
            </w:r>
          </w:p>
          <w:p w14:paraId="51D7BCC9" w14:textId="4DC75488" w:rsidR="00F22E24" w:rsidRPr="00584929" w:rsidRDefault="00F22E24" w:rsidP="005B06A0">
            <w:pPr>
              <w:pStyle w:val="Akapitzlist"/>
              <w:numPr>
                <w:ilvl w:val="0"/>
                <w:numId w:val="26"/>
              </w:numPr>
              <w:ind w:left="317" w:hanging="284"/>
              <w:jc w:val="both"/>
              <w:rPr>
                <w:sz w:val="22"/>
                <w:szCs w:val="22"/>
              </w:rPr>
            </w:pPr>
            <w:r w:rsidRPr="00584929">
              <w:rPr>
                <w:sz w:val="22"/>
                <w:szCs w:val="22"/>
              </w:rPr>
              <w:t>wytworzone zostały w ramach działalności uznanej zgodnie z art. 34 dyrektywy</w:t>
            </w:r>
            <w:r w:rsidR="005B06A0" w:rsidRPr="00584929">
              <w:rPr>
                <w:sz w:val="22"/>
                <w:szCs w:val="22"/>
              </w:rPr>
              <w:t xml:space="preserve"> </w:t>
            </w:r>
            <w:r w:rsidRPr="00584929">
              <w:rPr>
                <w:sz w:val="22"/>
                <w:szCs w:val="22"/>
              </w:rPr>
              <w:t>2014/25/UE za bezpośrednio podlegającą konkurencji.</w:t>
            </w:r>
          </w:p>
          <w:p w14:paraId="261EE53A" w14:textId="16BC738F" w:rsidR="00F22E24" w:rsidRPr="00584929" w:rsidRDefault="00F22E24" w:rsidP="005B06A0">
            <w:pPr>
              <w:jc w:val="both"/>
              <w:rPr>
                <w:rFonts w:ascii="Times New Roman" w:hAnsi="Times New Roman" w:cs="Times New Roman"/>
              </w:rPr>
            </w:pPr>
            <w:r w:rsidRPr="00584929">
              <w:rPr>
                <w:rFonts w:ascii="Times New Roman" w:hAnsi="Times New Roman" w:cs="Times New Roman"/>
              </w:rPr>
              <w:t>(wskazane wyłączenia nie dotyczą informacji publicznych podlegających udostępnieniu</w:t>
            </w:r>
            <w:r w:rsidR="005B06A0" w:rsidRPr="00584929">
              <w:rPr>
                <w:rFonts w:ascii="Times New Roman" w:hAnsi="Times New Roman" w:cs="Times New Roman"/>
              </w:rPr>
              <w:t xml:space="preserve"> </w:t>
            </w:r>
            <w:r w:rsidR="005B06A0" w:rsidRPr="00584929">
              <w:rPr>
                <w:rFonts w:ascii="Times New Roman" w:hAnsi="Times New Roman" w:cs="Times New Roman"/>
              </w:rPr>
              <w:lastRenderedPageBreak/>
              <w:t>w </w:t>
            </w:r>
            <w:r w:rsidRPr="00584929">
              <w:rPr>
                <w:rFonts w:ascii="Times New Roman" w:hAnsi="Times New Roman" w:cs="Times New Roman"/>
              </w:rPr>
              <w:t>Biuletynie Informacji Publicznej - art. 4 ust. 2 projektu ustawy).</w:t>
            </w:r>
          </w:p>
          <w:p w14:paraId="61525DF2" w14:textId="0E8B216E" w:rsidR="00F22E24" w:rsidRPr="00584929" w:rsidRDefault="00F22E24" w:rsidP="005B06A0">
            <w:pPr>
              <w:jc w:val="both"/>
              <w:rPr>
                <w:rFonts w:ascii="Times New Roman" w:hAnsi="Times New Roman" w:cs="Times New Roman"/>
              </w:rPr>
            </w:pPr>
            <w:r w:rsidRPr="00584929">
              <w:rPr>
                <w:rFonts w:ascii="Times New Roman" w:hAnsi="Times New Roman" w:cs="Times New Roman"/>
              </w:rPr>
              <w:t>Należy przy tym podkreślić, że objęcie zakresem ustawy danych będących w posiadaniu</w:t>
            </w:r>
            <w:r w:rsidR="005B06A0" w:rsidRPr="00584929">
              <w:rPr>
                <w:rFonts w:ascii="Times New Roman" w:hAnsi="Times New Roman" w:cs="Times New Roman"/>
              </w:rPr>
              <w:t xml:space="preserve"> </w:t>
            </w:r>
            <w:r w:rsidRPr="00584929">
              <w:rPr>
                <w:rFonts w:ascii="Times New Roman" w:hAnsi="Times New Roman" w:cs="Times New Roman"/>
              </w:rPr>
              <w:t>przedsiębiorstw publicznych nie oznacza wprowadzenia ogólnego obowiązku</w:t>
            </w:r>
            <w:r w:rsidR="005B06A0" w:rsidRPr="00584929">
              <w:rPr>
                <w:rFonts w:ascii="Times New Roman" w:hAnsi="Times New Roman" w:cs="Times New Roman"/>
              </w:rPr>
              <w:t xml:space="preserve"> </w:t>
            </w:r>
            <w:r w:rsidRPr="00584929">
              <w:rPr>
                <w:rFonts w:ascii="Times New Roman" w:hAnsi="Times New Roman" w:cs="Times New Roman"/>
              </w:rPr>
              <w:t xml:space="preserve">udostępniania lub przekazywania przez takie podmioty </w:t>
            </w:r>
            <w:r w:rsidR="009D3EF2" w:rsidRPr="00584929">
              <w:rPr>
                <w:rFonts w:ascii="Times New Roman" w:hAnsi="Times New Roman" w:cs="Times New Roman"/>
              </w:rPr>
              <w:t>ISP</w:t>
            </w:r>
            <w:r w:rsidR="005B06A0" w:rsidRPr="00584929">
              <w:rPr>
                <w:rFonts w:ascii="Times New Roman" w:hAnsi="Times New Roman" w:cs="Times New Roman"/>
              </w:rPr>
              <w:t xml:space="preserve"> </w:t>
            </w:r>
            <w:r w:rsidRPr="00584929">
              <w:rPr>
                <w:rFonts w:ascii="Times New Roman" w:hAnsi="Times New Roman" w:cs="Times New Roman"/>
              </w:rPr>
              <w:t>do ponownego wykorzy</w:t>
            </w:r>
            <w:r w:rsidR="005B06A0" w:rsidRPr="00584929">
              <w:rPr>
                <w:rFonts w:ascii="Times New Roman" w:hAnsi="Times New Roman" w:cs="Times New Roman"/>
              </w:rPr>
              <w:t>stywania. Zgodnie z przyjętym w </w:t>
            </w:r>
            <w:r w:rsidRPr="00584929">
              <w:rPr>
                <w:rFonts w:ascii="Times New Roman" w:hAnsi="Times New Roman" w:cs="Times New Roman"/>
              </w:rPr>
              <w:t>dyrektywie 2019/1024/UE</w:t>
            </w:r>
            <w:r w:rsidR="005B06A0" w:rsidRPr="00584929">
              <w:rPr>
                <w:rFonts w:ascii="Times New Roman" w:hAnsi="Times New Roman" w:cs="Times New Roman"/>
              </w:rPr>
              <w:t xml:space="preserve"> </w:t>
            </w:r>
            <w:r w:rsidRPr="00584929">
              <w:rPr>
                <w:rFonts w:ascii="Times New Roman" w:hAnsi="Times New Roman" w:cs="Times New Roman"/>
              </w:rPr>
              <w:t>podejściem udostępnianie do ponownego wykorzystywania danych będących w posiadaniu</w:t>
            </w:r>
            <w:r w:rsidR="005B06A0" w:rsidRPr="00584929">
              <w:rPr>
                <w:rFonts w:ascii="Times New Roman" w:hAnsi="Times New Roman" w:cs="Times New Roman"/>
              </w:rPr>
              <w:t xml:space="preserve"> </w:t>
            </w:r>
            <w:r w:rsidRPr="00584929">
              <w:rPr>
                <w:rFonts w:ascii="Times New Roman" w:hAnsi="Times New Roman" w:cs="Times New Roman"/>
              </w:rPr>
              <w:t>przedsiębiorstw publicznych ma mieć charakter dobrowolny. Mając na uwadze powyższe,</w:t>
            </w:r>
            <w:r w:rsidR="005B06A0" w:rsidRPr="00584929">
              <w:rPr>
                <w:rFonts w:ascii="Times New Roman" w:hAnsi="Times New Roman" w:cs="Times New Roman"/>
              </w:rPr>
              <w:t xml:space="preserve">  </w:t>
            </w:r>
            <w:r w:rsidRPr="00584929">
              <w:rPr>
                <w:rFonts w:ascii="Times New Roman" w:hAnsi="Times New Roman" w:cs="Times New Roman"/>
              </w:rPr>
              <w:t>podmioty wskazane w art. 3 pkt 5 projektu ustawy wyłączono z szeregu obowiązków</w:t>
            </w:r>
            <w:r w:rsidR="005B06A0" w:rsidRPr="00584929">
              <w:rPr>
                <w:rFonts w:ascii="Times New Roman" w:hAnsi="Times New Roman" w:cs="Times New Roman"/>
              </w:rPr>
              <w:t xml:space="preserve"> </w:t>
            </w:r>
            <w:r w:rsidRPr="00584929">
              <w:rPr>
                <w:rFonts w:ascii="Times New Roman" w:hAnsi="Times New Roman" w:cs="Times New Roman"/>
              </w:rPr>
              <w:t>ustawowych.</w:t>
            </w:r>
          </w:p>
          <w:p w14:paraId="0483CE62" w14:textId="0AD89B89" w:rsidR="005B06A0" w:rsidRPr="00584929" w:rsidRDefault="005B06A0" w:rsidP="005B06A0">
            <w:pPr>
              <w:jc w:val="both"/>
              <w:rPr>
                <w:rFonts w:ascii="Times New Roman" w:hAnsi="Times New Roman" w:cs="Times New Roman"/>
              </w:rPr>
            </w:pPr>
            <w:r w:rsidRPr="00584929">
              <w:rPr>
                <w:rFonts w:ascii="Times New Roman" w:hAnsi="Times New Roman" w:cs="Times New Roman"/>
              </w:rPr>
              <w:t xml:space="preserve">Projekt ustawy przewiduje dwa tryby udostępniania/przekazywania </w:t>
            </w:r>
            <w:r w:rsidR="009D3EF2" w:rsidRPr="00584929">
              <w:rPr>
                <w:rFonts w:ascii="Times New Roman" w:hAnsi="Times New Roman" w:cs="Times New Roman"/>
              </w:rPr>
              <w:t>ISP</w:t>
            </w:r>
            <w:r w:rsidRPr="00584929">
              <w:rPr>
                <w:rFonts w:ascii="Times New Roman" w:hAnsi="Times New Roman" w:cs="Times New Roman"/>
              </w:rPr>
              <w:t xml:space="preserve"> (art. 5 projektu ustawy):</w:t>
            </w:r>
          </w:p>
          <w:p w14:paraId="3E829B0D" w14:textId="52C538E0" w:rsidR="005B06A0" w:rsidRPr="00584929" w:rsidRDefault="005B06A0" w:rsidP="005B06A0">
            <w:pPr>
              <w:pStyle w:val="Akapitzlist"/>
              <w:numPr>
                <w:ilvl w:val="0"/>
                <w:numId w:val="27"/>
              </w:numPr>
              <w:ind w:left="317" w:hanging="284"/>
              <w:jc w:val="both"/>
              <w:rPr>
                <w:sz w:val="22"/>
                <w:szCs w:val="22"/>
              </w:rPr>
            </w:pPr>
            <w:r w:rsidRPr="00584929">
              <w:rPr>
                <w:sz w:val="22"/>
                <w:szCs w:val="22"/>
              </w:rPr>
              <w:t xml:space="preserve">tryb wnioskowy (przekazywanie </w:t>
            </w:r>
            <w:r w:rsidR="009D3EF2" w:rsidRPr="00584929">
              <w:rPr>
                <w:sz w:val="22"/>
                <w:szCs w:val="22"/>
              </w:rPr>
              <w:t>ISP</w:t>
            </w:r>
            <w:r w:rsidRPr="00584929">
              <w:rPr>
                <w:sz w:val="22"/>
                <w:szCs w:val="22"/>
              </w:rPr>
              <w:t xml:space="preserve"> na wniosek o ponowne wykorzystywanie)</w:t>
            </w:r>
          </w:p>
          <w:p w14:paraId="5D38F10B" w14:textId="2EE29B01" w:rsidR="005B06A0" w:rsidRPr="00584929" w:rsidRDefault="005B06A0" w:rsidP="004D1AC0">
            <w:pPr>
              <w:pStyle w:val="Akapitzlist"/>
              <w:numPr>
                <w:ilvl w:val="0"/>
                <w:numId w:val="27"/>
              </w:numPr>
              <w:ind w:left="317" w:hanging="284"/>
              <w:jc w:val="both"/>
            </w:pPr>
            <w:r w:rsidRPr="00584929">
              <w:rPr>
                <w:sz w:val="22"/>
                <w:szCs w:val="22"/>
              </w:rPr>
              <w:t xml:space="preserve">tryb bezwnioskowy (udostępnianie </w:t>
            </w:r>
            <w:r w:rsidR="009D3EF2" w:rsidRPr="00584929">
              <w:rPr>
                <w:sz w:val="22"/>
                <w:szCs w:val="22"/>
              </w:rPr>
              <w:t>ISP w </w:t>
            </w:r>
            <w:r w:rsidRPr="00584929">
              <w:rPr>
                <w:sz w:val="22"/>
                <w:szCs w:val="22"/>
              </w:rPr>
              <w:t>Biuletynie Informacji Publicznej podmiotu zobowiązanego lub na portalu otwartych danych lub w innym systemie teleinformatycznym podmiotu zobowiązanego)</w:t>
            </w:r>
          </w:p>
          <w:p w14:paraId="29C30356" w14:textId="2CF6967F" w:rsidR="005B06A0" w:rsidRPr="00584929" w:rsidRDefault="005B06A0" w:rsidP="00AF44D2">
            <w:pPr>
              <w:jc w:val="both"/>
              <w:rPr>
                <w:rFonts w:ascii="Times New Roman" w:hAnsi="Times New Roman" w:cs="Times New Roman"/>
                <w:b/>
              </w:rPr>
            </w:pPr>
            <w:r w:rsidRPr="00584929">
              <w:rPr>
                <w:rFonts w:ascii="Times New Roman" w:hAnsi="Times New Roman" w:cs="Times New Roman"/>
              </w:rPr>
              <w:t xml:space="preserve">W przypadku trybu wnioskowego podmioty wskazane w art. 3 pkt 5 projektu zostały zwolnione z obowiązku rozpatrywania wniosków o ponowne wykorzystywanie. </w:t>
            </w:r>
            <w:r w:rsidR="00AF44D2" w:rsidRPr="00584929">
              <w:rPr>
                <w:rFonts w:ascii="Times New Roman" w:hAnsi="Times New Roman" w:cs="Times New Roman"/>
              </w:rPr>
              <w:t>P</w:t>
            </w:r>
            <w:r w:rsidRPr="00584929">
              <w:rPr>
                <w:rFonts w:ascii="Times New Roman" w:hAnsi="Times New Roman" w:cs="Times New Roman"/>
              </w:rPr>
              <w:t xml:space="preserve">rzepisów rozdziału 9 ustawy (regulującego ponowne wykorzystywanie </w:t>
            </w:r>
            <w:r w:rsidR="009D3EF2" w:rsidRPr="00584929">
              <w:rPr>
                <w:rFonts w:ascii="Times New Roman" w:hAnsi="Times New Roman" w:cs="Times New Roman"/>
              </w:rPr>
              <w:t>ISP</w:t>
            </w:r>
            <w:r w:rsidRPr="00584929">
              <w:rPr>
                <w:rFonts w:ascii="Times New Roman" w:hAnsi="Times New Roman" w:cs="Times New Roman"/>
              </w:rPr>
              <w:t xml:space="preserve"> przekazywanych na wniosek) nie stosuje się do przekazywania </w:t>
            </w:r>
            <w:r w:rsidR="009D3EF2" w:rsidRPr="00584929">
              <w:rPr>
                <w:rFonts w:ascii="Times New Roman" w:hAnsi="Times New Roman" w:cs="Times New Roman"/>
              </w:rPr>
              <w:t>ISP</w:t>
            </w:r>
            <w:r w:rsidRPr="00584929">
              <w:rPr>
                <w:rFonts w:ascii="Times New Roman" w:hAnsi="Times New Roman" w:cs="Times New Roman"/>
              </w:rPr>
              <w:t xml:space="preserve"> przez przedsiębiorstwa publiczne. Innymi słowy, przedsiębiorstwa publiczne w rozumieniu projektowanych przepisów nie są zobowiązane do przekazywania </w:t>
            </w:r>
            <w:r w:rsidR="009D3EF2" w:rsidRPr="00584929">
              <w:rPr>
                <w:rFonts w:ascii="Times New Roman" w:hAnsi="Times New Roman" w:cs="Times New Roman"/>
              </w:rPr>
              <w:t>ISP</w:t>
            </w:r>
            <w:r w:rsidRPr="00584929">
              <w:rPr>
                <w:rFonts w:ascii="Times New Roman" w:hAnsi="Times New Roman" w:cs="Times New Roman"/>
              </w:rPr>
              <w:t xml:space="preserve"> na </w:t>
            </w:r>
            <w:r w:rsidRPr="00584929">
              <w:rPr>
                <w:rFonts w:ascii="Times New Roman" w:hAnsi="Times New Roman" w:cs="Times New Roman"/>
              </w:rPr>
              <w:lastRenderedPageBreak/>
              <w:t xml:space="preserve">wniosek złożony przez </w:t>
            </w:r>
            <w:r w:rsidR="009D3EF2" w:rsidRPr="00584929">
              <w:rPr>
                <w:rFonts w:ascii="Times New Roman" w:hAnsi="Times New Roman" w:cs="Times New Roman"/>
              </w:rPr>
              <w:t xml:space="preserve">potencjalnego użytkownika </w:t>
            </w:r>
            <w:r w:rsidRPr="00584929">
              <w:rPr>
                <w:rFonts w:ascii="Times New Roman" w:hAnsi="Times New Roman" w:cs="Times New Roman"/>
              </w:rPr>
              <w:t>zainteresowan</w:t>
            </w:r>
            <w:r w:rsidR="009D3EF2" w:rsidRPr="00584929">
              <w:rPr>
                <w:rFonts w:ascii="Times New Roman" w:hAnsi="Times New Roman" w:cs="Times New Roman"/>
              </w:rPr>
              <w:t>ego</w:t>
            </w:r>
            <w:r w:rsidRPr="00584929">
              <w:rPr>
                <w:rFonts w:ascii="Times New Roman" w:hAnsi="Times New Roman" w:cs="Times New Roman"/>
              </w:rPr>
              <w:t xml:space="preserve"> ponownym wykorzystywaniem konkretnych informacji będących w posiadaniu tych podmiotów. </w:t>
            </w:r>
            <w:r w:rsidR="009D3EF2" w:rsidRPr="00584929">
              <w:rPr>
                <w:rFonts w:ascii="Times New Roman" w:hAnsi="Times New Roman" w:cs="Times New Roman"/>
              </w:rPr>
              <w:t>W odniesieniu do drugiego z </w:t>
            </w:r>
            <w:r w:rsidRPr="00584929">
              <w:rPr>
                <w:rFonts w:ascii="Times New Roman" w:hAnsi="Times New Roman" w:cs="Times New Roman"/>
              </w:rPr>
              <w:t xml:space="preserve">wymienionych trybów, tj. udostępniania </w:t>
            </w:r>
            <w:r w:rsidR="009D3EF2" w:rsidRPr="00584929">
              <w:rPr>
                <w:rFonts w:ascii="Times New Roman" w:hAnsi="Times New Roman" w:cs="Times New Roman"/>
              </w:rPr>
              <w:t>ISP</w:t>
            </w:r>
            <w:r w:rsidRPr="00584929">
              <w:rPr>
                <w:rFonts w:ascii="Times New Roman" w:hAnsi="Times New Roman" w:cs="Times New Roman"/>
              </w:rPr>
              <w:t xml:space="preserve"> w systemach teleinformatycznych (np. na stronie internetowej podmiotu zobowiązanego lub na portalu otwartych danych) decyzja co do tego, czy udostępniać do ponownego wykorzystywania posiadane </w:t>
            </w:r>
            <w:r w:rsidR="009D3EF2" w:rsidRPr="00584929">
              <w:rPr>
                <w:rFonts w:ascii="Times New Roman" w:hAnsi="Times New Roman" w:cs="Times New Roman"/>
              </w:rPr>
              <w:t>ISP</w:t>
            </w:r>
            <w:r w:rsidRPr="00584929">
              <w:rPr>
                <w:rFonts w:ascii="Times New Roman" w:hAnsi="Times New Roman" w:cs="Times New Roman"/>
              </w:rPr>
              <w:t xml:space="preserve"> pozostanie w gestii zainteresowanego przedsiębiorstwa. Dodać należy, że podmioty, o których mowa </w:t>
            </w:r>
            <w:r w:rsidR="00AF44D2" w:rsidRPr="00584929">
              <w:rPr>
                <w:rFonts w:ascii="Times New Roman" w:hAnsi="Times New Roman" w:cs="Times New Roman"/>
              </w:rPr>
              <w:t>w art. 3 pkt 5 (</w:t>
            </w:r>
            <w:r w:rsidRPr="00584929">
              <w:rPr>
                <w:rFonts w:ascii="Times New Roman" w:hAnsi="Times New Roman" w:cs="Times New Roman"/>
              </w:rPr>
              <w:t xml:space="preserve">w odróżnieniu od pozostałych podmiotów zobowiązanych) zostały zwolnione z obowiązku udostępniania posiadanych informacji na portalu otwartych danych.  Jednocześnie jednak w przypadku kiedy zainteresowane przedsiębiorstwo publiczne zdecyduje się na przekazanie (na wniosek) lub udostępnianie (w systemie teleinformatycznym) w sposób dobrowolny posiadanych </w:t>
            </w:r>
            <w:r w:rsidR="00AF44D2" w:rsidRPr="00584929">
              <w:rPr>
                <w:rFonts w:ascii="Times New Roman" w:hAnsi="Times New Roman" w:cs="Times New Roman"/>
              </w:rPr>
              <w:t>ISP</w:t>
            </w:r>
            <w:r w:rsidRPr="00584929">
              <w:rPr>
                <w:rFonts w:ascii="Times New Roman" w:hAnsi="Times New Roman" w:cs="Times New Roman"/>
              </w:rPr>
              <w:t xml:space="preserve"> do ponownego wykorzystywania, zobowiązane będzie to uczynić w oparciu o przepisy rozdziałów 2-4 projektu ustawy. Przepisy te dotyczą zasad udostępniania i przekazywania </w:t>
            </w:r>
            <w:r w:rsidR="00AF44D2" w:rsidRPr="00584929">
              <w:rPr>
                <w:rFonts w:ascii="Times New Roman" w:hAnsi="Times New Roman" w:cs="Times New Roman"/>
              </w:rPr>
              <w:t>ISP</w:t>
            </w:r>
            <w:r w:rsidRPr="00584929">
              <w:rPr>
                <w:rFonts w:ascii="Times New Roman" w:hAnsi="Times New Roman" w:cs="Times New Roman"/>
              </w:rPr>
              <w:t xml:space="preserve"> w celu ponownego wykorzystywania, warunków ponownego wykorzystywania oraz opłat za ponowne wykorzystywanie</w:t>
            </w:r>
            <w:r w:rsidR="00AF44D2" w:rsidRPr="00584929">
              <w:rPr>
                <w:rFonts w:ascii="Times New Roman" w:hAnsi="Times New Roman" w:cs="Times New Roman"/>
              </w:rPr>
              <w:t>.</w:t>
            </w:r>
            <w:r w:rsidRPr="00584929">
              <w:rPr>
                <w:rFonts w:ascii="Times New Roman" w:hAnsi="Times New Roman" w:cs="Times New Roman"/>
              </w:rPr>
              <w:t xml:space="preserve"> </w:t>
            </w:r>
          </w:p>
        </w:tc>
      </w:tr>
      <w:tr w:rsidR="000E4A06" w:rsidRPr="00584929" w14:paraId="043FF2BA" w14:textId="77777777" w:rsidTr="00D94ED7">
        <w:tc>
          <w:tcPr>
            <w:tcW w:w="676" w:type="dxa"/>
            <w:shd w:val="clear" w:color="auto" w:fill="auto"/>
          </w:tcPr>
          <w:p w14:paraId="1B3C9698" w14:textId="77777777" w:rsidR="000E4A06" w:rsidRPr="00584929" w:rsidRDefault="000E4A06" w:rsidP="004A29FC">
            <w:pPr>
              <w:pStyle w:val="Akapitzlist"/>
              <w:numPr>
                <w:ilvl w:val="0"/>
                <w:numId w:val="20"/>
              </w:numPr>
              <w:rPr>
                <w:sz w:val="22"/>
                <w:szCs w:val="22"/>
              </w:rPr>
            </w:pPr>
          </w:p>
        </w:tc>
        <w:tc>
          <w:tcPr>
            <w:tcW w:w="1968" w:type="dxa"/>
            <w:shd w:val="clear" w:color="auto" w:fill="auto"/>
          </w:tcPr>
          <w:p w14:paraId="46285597" w14:textId="2C7352DB" w:rsidR="000E4A06" w:rsidRPr="00584929" w:rsidRDefault="000E4A06" w:rsidP="004A29FC">
            <w:pPr>
              <w:rPr>
                <w:rFonts w:ascii="Times New Roman" w:hAnsi="Times New Roman" w:cs="Times New Roman"/>
              </w:rPr>
            </w:pPr>
            <w:r w:rsidRPr="00584929">
              <w:rPr>
                <w:rFonts w:ascii="Times New Roman" w:hAnsi="Times New Roman" w:cs="Times New Roman"/>
              </w:rPr>
              <w:t>Ministerstwo Kultury i Dziedzictwa Narodowego</w:t>
            </w:r>
          </w:p>
          <w:p w14:paraId="7E6A02CE" w14:textId="237E7A58" w:rsidR="000E4A06" w:rsidRPr="00584929" w:rsidRDefault="000E4A06" w:rsidP="004A29FC">
            <w:pPr>
              <w:rPr>
                <w:rFonts w:ascii="Times New Roman" w:hAnsi="Times New Roman" w:cs="Times New Roman"/>
              </w:rPr>
            </w:pPr>
          </w:p>
        </w:tc>
        <w:tc>
          <w:tcPr>
            <w:tcW w:w="1526" w:type="dxa"/>
            <w:shd w:val="clear" w:color="auto" w:fill="auto"/>
          </w:tcPr>
          <w:p w14:paraId="43FAA4E1" w14:textId="41DBE451" w:rsidR="000E4A06" w:rsidRPr="00584929" w:rsidRDefault="000E4A06" w:rsidP="004A29FC">
            <w:pPr>
              <w:rPr>
                <w:rFonts w:ascii="Times New Roman" w:hAnsi="Times New Roman" w:cs="Times New Roman"/>
              </w:rPr>
            </w:pPr>
            <w:r w:rsidRPr="00584929">
              <w:rPr>
                <w:rFonts w:ascii="Times New Roman" w:hAnsi="Times New Roman" w:cs="Times New Roman"/>
              </w:rPr>
              <w:t>Art. 4 ust. 1 pkt 3</w:t>
            </w:r>
          </w:p>
        </w:tc>
        <w:tc>
          <w:tcPr>
            <w:tcW w:w="5323" w:type="dxa"/>
            <w:shd w:val="clear" w:color="auto" w:fill="auto"/>
          </w:tcPr>
          <w:p w14:paraId="1BE68ABA" w14:textId="1628017C" w:rsidR="000E4A06" w:rsidRPr="00584929" w:rsidRDefault="000E4A06" w:rsidP="001D6AAD">
            <w:pPr>
              <w:jc w:val="both"/>
              <w:rPr>
                <w:rFonts w:ascii="Times New Roman" w:hAnsi="Times New Roman" w:cs="Times New Roman"/>
              </w:rPr>
            </w:pPr>
            <w:r w:rsidRPr="00584929">
              <w:rPr>
                <w:rFonts w:ascii="Times New Roman" w:hAnsi="Times New Roman" w:cs="Times New Roman"/>
              </w:rPr>
              <w:t>Może zachodzić konflikt w odniesieniu do zakresu podmiotowego ustawy. Co do zasady ustawą są objęte muzea państwowe i samo</w:t>
            </w:r>
            <w:r w:rsidR="006718B0" w:rsidRPr="00584929">
              <w:rPr>
                <w:rFonts w:ascii="Times New Roman" w:hAnsi="Times New Roman" w:cs="Times New Roman"/>
              </w:rPr>
              <w:t>rządowe, a niestosuje się jej w </w:t>
            </w:r>
            <w:r w:rsidRPr="00584929">
              <w:rPr>
                <w:rFonts w:ascii="Times New Roman" w:hAnsi="Times New Roman" w:cs="Times New Roman"/>
              </w:rPr>
              <w:t>przypadku części instytucji wymienionych w</w:t>
            </w:r>
            <w:r w:rsidR="006718B0" w:rsidRPr="00584929">
              <w:rPr>
                <w:rFonts w:ascii="Times New Roman" w:hAnsi="Times New Roman" w:cs="Times New Roman"/>
              </w:rPr>
              <w:t xml:space="preserve"> Prawie o szkolnictwie wyższym w tym </w:t>
            </w:r>
            <w:r w:rsidRPr="00584929">
              <w:rPr>
                <w:rFonts w:ascii="Times New Roman" w:hAnsi="Times New Roman" w:cs="Times New Roman"/>
              </w:rPr>
              <w:t>innych podmiotów prowadzących głównie działalność naukową w sposób samodzielny i ciągły (art. 7 ust. 1 pkt 8 ustawy z dnia 20 lipca 2018 r. –</w:t>
            </w:r>
            <w:r w:rsidR="001D6AAD" w:rsidRPr="00584929">
              <w:rPr>
                <w:rFonts w:ascii="Times New Roman" w:hAnsi="Times New Roman" w:cs="Times New Roman"/>
              </w:rPr>
              <w:t xml:space="preserve"> Prawo o szkolnictwie wyższym i </w:t>
            </w:r>
            <w:r w:rsidRPr="00584929">
              <w:rPr>
                <w:rFonts w:ascii="Times New Roman" w:hAnsi="Times New Roman" w:cs="Times New Roman"/>
              </w:rPr>
              <w:t>nauce).</w:t>
            </w:r>
          </w:p>
          <w:p w14:paraId="019411F3" w14:textId="6B175DEA" w:rsidR="000E4A06" w:rsidRPr="00584929" w:rsidRDefault="000E4A06" w:rsidP="001D6AAD">
            <w:pPr>
              <w:jc w:val="both"/>
              <w:rPr>
                <w:rFonts w:ascii="Times New Roman" w:hAnsi="Times New Roman" w:cs="Times New Roman"/>
              </w:rPr>
            </w:pPr>
            <w:r w:rsidRPr="00584929">
              <w:rPr>
                <w:rFonts w:ascii="Times New Roman" w:hAnsi="Times New Roman" w:cs="Times New Roman"/>
              </w:rPr>
              <w:lastRenderedPageBreak/>
              <w:t>Część muzeów stanowi jednostki naukowe. W aktualnym wykazie jednostek naukowych figuruje 7 instytucji muzealnych tj. Muzeum Górnośląskie w Bytomiu, Muzeum Historii Fotogr</w:t>
            </w:r>
            <w:r w:rsidR="006718B0" w:rsidRPr="00584929">
              <w:rPr>
                <w:rFonts w:ascii="Times New Roman" w:hAnsi="Times New Roman" w:cs="Times New Roman"/>
              </w:rPr>
              <w:t xml:space="preserve">afii im. Walerego Rzewuskiego w Krakowie, </w:t>
            </w:r>
            <w:r w:rsidRPr="00584929">
              <w:rPr>
                <w:rFonts w:ascii="Times New Roman" w:hAnsi="Times New Roman" w:cs="Times New Roman"/>
              </w:rPr>
              <w:t>Muzeum Historyczne Miasta Krakowa, Muzeum Narodowe w Krakowie, Muzeum Narodowe w</w:t>
            </w:r>
            <w:r w:rsidR="006718B0" w:rsidRPr="00584929">
              <w:rPr>
                <w:rFonts w:ascii="Times New Roman" w:hAnsi="Times New Roman" w:cs="Times New Roman"/>
              </w:rPr>
              <w:t> </w:t>
            </w:r>
            <w:r w:rsidRPr="00584929">
              <w:rPr>
                <w:rFonts w:ascii="Times New Roman" w:hAnsi="Times New Roman" w:cs="Times New Roman"/>
              </w:rPr>
              <w:t>Poznaniu, Muzeum Sztuki w Łodzi, Muzeum Sztuki Współczesnej w Krakowie MOCAK (</w:t>
            </w:r>
            <w:hyperlink r:id="rId8" w:history="1">
              <w:r w:rsidRPr="00584929">
                <w:rPr>
                  <w:rStyle w:val="Hipercze"/>
                  <w:rFonts w:ascii="Times New Roman" w:hAnsi="Times New Roman" w:cs="Times New Roman"/>
                </w:rPr>
                <w:t>https://polon.nauka.gov.pl/opi/aa/rejestry/nauka?execution=e1s1</w:t>
              </w:r>
            </w:hyperlink>
            <w:r w:rsidRPr="00584929">
              <w:rPr>
                <w:rFonts w:ascii="Times New Roman" w:hAnsi="Times New Roman" w:cs="Times New Roman"/>
              </w:rPr>
              <w:t>)</w:t>
            </w:r>
            <w:r w:rsidR="00C02828" w:rsidRPr="00584929">
              <w:rPr>
                <w:rFonts w:ascii="Times New Roman" w:hAnsi="Times New Roman" w:cs="Times New Roman"/>
              </w:rPr>
              <w:t>.</w:t>
            </w:r>
          </w:p>
        </w:tc>
        <w:tc>
          <w:tcPr>
            <w:tcW w:w="4785" w:type="dxa"/>
            <w:shd w:val="clear" w:color="auto" w:fill="auto"/>
          </w:tcPr>
          <w:p w14:paraId="3292F19A" w14:textId="77777777" w:rsidR="000E4A06" w:rsidRPr="00584929" w:rsidRDefault="000E4A06" w:rsidP="006718B0">
            <w:pPr>
              <w:rPr>
                <w:rFonts w:ascii="Times New Roman" w:hAnsi="Times New Roman" w:cs="Times New Roman"/>
                <w:b/>
              </w:rPr>
            </w:pPr>
            <w:r w:rsidRPr="00584929">
              <w:rPr>
                <w:rFonts w:ascii="Times New Roman" w:hAnsi="Times New Roman" w:cs="Times New Roman"/>
                <w:b/>
              </w:rPr>
              <w:lastRenderedPageBreak/>
              <w:t xml:space="preserve">Uwaga </w:t>
            </w:r>
            <w:r w:rsidR="006718B0" w:rsidRPr="00584929">
              <w:rPr>
                <w:rFonts w:ascii="Times New Roman" w:hAnsi="Times New Roman" w:cs="Times New Roman"/>
                <w:b/>
              </w:rPr>
              <w:t xml:space="preserve">uwzględniona </w:t>
            </w:r>
            <w:r w:rsidRPr="00584929">
              <w:rPr>
                <w:rFonts w:ascii="Times New Roman" w:hAnsi="Times New Roman" w:cs="Times New Roman"/>
                <w:b/>
              </w:rPr>
              <w:t xml:space="preserve"> </w:t>
            </w:r>
          </w:p>
          <w:p w14:paraId="28815253" w14:textId="45ED28A5" w:rsidR="006718B0" w:rsidRPr="00584929" w:rsidRDefault="006718B0" w:rsidP="00092F20">
            <w:pPr>
              <w:jc w:val="both"/>
              <w:rPr>
                <w:rFonts w:ascii="Times New Roman" w:hAnsi="Times New Roman" w:cs="Times New Roman"/>
              </w:rPr>
            </w:pPr>
            <w:r w:rsidRPr="00584929">
              <w:rPr>
                <w:rFonts w:ascii="Times New Roman" w:hAnsi="Times New Roman" w:cs="Times New Roman"/>
              </w:rPr>
              <w:t>Do art. 4 ust. 1 pkt 3</w:t>
            </w:r>
            <w:r w:rsidR="00092F20" w:rsidRPr="00584929">
              <w:rPr>
                <w:rFonts w:ascii="Times New Roman" w:hAnsi="Times New Roman" w:cs="Times New Roman"/>
              </w:rPr>
              <w:t xml:space="preserve"> projektu</w:t>
            </w:r>
            <w:r w:rsidRPr="00584929">
              <w:rPr>
                <w:rFonts w:ascii="Times New Roman" w:hAnsi="Times New Roman" w:cs="Times New Roman"/>
              </w:rPr>
              <w:t xml:space="preserve">, w którym znajdują się wyjątki od generalnego </w:t>
            </w:r>
            <w:r w:rsidR="00092F20" w:rsidRPr="00584929">
              <w:rPr>
                <w:rFonts w:ascii="Times New Roman" w:hAnsi="Times New Roman" w:cs="Times New Roman"/>
              </w:rPr>
              <w:t xml:space="preserve">wyłączenia z zakresu regulacyjnego projektowanej ustawy podmiotów wchodzących w skład systemu szkolnictwa wyższego i nauki, </w:t>
            </w:r>
            <w:r w:rsidRPr="00584929">
              <w:rPr>
                <w:rFonts w:ascii="Times New Roman" w:hAnsi="Times New Roman" w:cs="Times New Roman"/>
              </w:rPr>
              <w:t xml:space="preserve">zostanie dodany nowy wyjątek dot. muzeów państwowych oraz muzeów </w:t>
            </w:r>
            <w:r w:rsidRPr="00584929">
              <w:rPr>
                <w:rFonts w:ascii="Times New Roman" w:hAnsi="Times New Roman" w:cs="Times New Roman"/>
              </w:rPr>
              <w:lastRenderedPageBreak/>
              <w:t>samorządowych prowadzących działalność naukową</w:t>
            </w:r>
            <w:r w:rsidR="00092F20" w:rsidRPr="00584929">
              <w:rPr>
                <w:rFonts w:ascii="Times New Roman" w:hAnsi="Times New Roman" w:cs="Times New Roman"/>
              </w:rPr>
              <w:t>.</w:t>
            </w:r>
          </w:p>
        </w:tc>
      </w:tr>
      <w:tr w:rsidR="00893992" w:rsidRPr="00584929" w14:paraId="10E173B2" w14:textId="77777777" w:rsidTr="00D94ED7">
        <w:tc>
          <w:tcPr>
            <w:tcW w:w="676" w:type="dxa"/>
            <w:shd w:val="clear" w:color="auto" w:fill="auto"/>
          </w:tcPr>
          <w:p w14:paraId="4FADF684" w14:textId="77777777" w:rsidR="00893992" w:rsidRPr="00584929" w:rsidRDefault="00893992" w:rsidP="004A29FC">
            <w:pPr>
              <w:pStyle w:val="Akapitzlist"/>
              <w:numPr>
                <w:ilvl w:val="0"/>
                <w:numId w:val="20"/>
              </w:numPr>
              <w:rPr>
                <w:sz w:val="22"/>
                <w:szCs w:val="22"/>
              </w:rPr>
            </w:pPr>
          </w:p>
        </w:tc>
        <w:tc>
          <w:tcPr>
            <w:tcW w:w="1968" w:type="dxa"/>
            <w:shd w:val="clear" w:color="auto" w:fill="auto"/>
          </w:tcPr>
          <w:p w14:paraId="5FD70DA7" w14:textId="683D658E" w:rsidR="00E2145A" w:rsidRPr="00584929" w:rsidRDefault="00DC7D81" w:rsidP="004A29FC">
            <w:pPr>
              <w:rPr>
                <w:rFonts w:ascii="Times New Roman" w:hAnsi="Times New Roman" w:cs="Times New Roman"/>
              </w:rPr>
            </w:pPr>
            <w:r w:rsidRPr="00584929">
              <w:rPr>
                <w:rFonts w:ascii="Times New Roman" w:hAnsi="Times New Roman" w:cs="Times New Roman"/>
              </w:rPr>
              <w:t>Ministerstwo Nauki i Szkolnictwa Wyższego</w:t>
            </w:r>
          </w:p>
        </w:tc>
        <w:tc>
          <w:tcPr>
            <w:tcW w:w="1526" w:type="dxa"/>
            <w:shd w:val="clear" w:color="auto" w:fill="auto"/>
          </w:tcPr>
          <w:p w14:paraId="5833A87E" w14:textId="2293B5A5" w:rsidR="00893992" w:rsidRPr="00584929" w:rsidRDefault="00DC7D81" w:rsidP="004A29FC">
            <w:pPr>
              <w:rPr>
                <w:rFonts w:ascii="Times New Roman" w:hAnsi="Times New Roman" w:cs="Times New Roman"/>
                <w:lang w:val="en-GB"/>
              </w:rPr>
            </w:pPr>
            <w:r w:rsidRPr="00584929">
              <w:rPr>
                <w:rFonts w:ascii="Times New Roman" w:hAnsi="Times New Roman" w:cs="Times New Roman"/>
                <w:lang w:val="en-GB"/>
              </w:rPr>
              <w:t>Art. 4 ust. 1 pkt 3 lit. a</w:t>
            </w:r>
          </w:p>
        </w:tc>
        <w:tc>
          <w:tcPr>
            <w:tcW w:w="5323" w:type="dxa"/>
            <w:shd w:val="clear" w:color="auto" w:fill="auto"/>
          </w:tcPr>
          <w:p w14:paraId="237999CC" w14:textId="04E43CAC" w:rsidR="00DC7D81" w:rsidRPr="00584929" w:rsidRDefault="00DC7D81" w:rsidP="001D6AAD">
            <w:pPr>
              <w:jc w:val="both"/>
              <w:rPr>
                <w:rFonts w:ascii="Times New Roman" w:hAnsi="Times New Roman" w:cs="Times New Roman"/>
              </w:rPr>
            </w:pPr>
            <w:r w:rsidRPr="00584929">
              <w:rPr>
                <w:rFonts w:ascii="Times New Roman" w:hAnsi="Times New Roman" w:cs="Times New Roman"/>
              </w:rPr>
              <w:t>Ze względu na to, że większość wyłączeń w obrębie pkt 3 ma charakter podmiotowy (lit. b–d), wyłączenie określone w lit. a proponuje się w</w:t>
            </w:r>
            <w:r w:rsidR="001D6AAD" w:rsidRPr="00584929">
              <w:rPr>
                <w:rFonts w:ascii="Times New Roman" w:hAnsi="Times New Roman" w:cs="Times New Roman"/>
              </w:rPr>
              <w:t>ydzielić jako odrębny przepis w </w:t>
            </w:r>
            <w:r w:rsidRPr="00584929">
              <w:rPr>
                <w:rFonts w:ascii="Times New Roman" w:hAnsi="Times New Roman" w:cs="Times New Roman"/>
              </w:rPr>
              <w:t>oddzielnym ustępie.</w:t>
            </w:r>
          </w:p>
          <w:p w14:paraId="50D3C808" w14:textId="77777777" w:rsidR="00893992" w:rsidRPr="00584929" w:rsidRDefault="00893992" w:rsidP="004A29FC">
            <w:pPr>
              <w:rPr>
                <w:rFonts w:ascii="Times New Roman" w:hAnsi="Times New Roman" w:cs="Times New Roman"/>
              </w:rPr>
            </w:pPr>
          </w:p>
        </w:tc>
        <w:tc>
          <w:tcPr>
            <w:tcW w:w="4785" w:type="dxa"/>
            <w:shd w:val="clear" w:color="auto" w:fill="auto"/>
          </w:tcPr>
          <w:p w14:paraId="2FF1825C" w14:textId="037694C2" w:rsidR="00DC7D81" w:rsidRPr="00584929" w:rsidRDefault="00DC7D81" w:rsidP="004A29FC">
            <w:pPr>
              <w:rPr>
                <w:rFonts w:ascii="Times New Roman" w:hAnsi="Times New Roman" w:cs="Times New Roman"/>
                <w:b/>
              </w:rPr>
            </w:pPr>
            <w:r w:rsidRPr="00584929">
              <w:rPr>
                <w:rFonts w:ascii="Times New Roman" w:hAnsi="Times New Roman" w:cs="Times New Roman"/>
                <w:b/>
              </w:rPr>
              <w:t xml:space="preserve">Uwaga </w:t>
            </w:r>
            <w:r w:rsidR="00647584" w:rsidRPr="00584929">
              <w:rPr>
                <w:rFonts w:ascii="Times New Roman" w:hAnsi="Times New Roman" w:cs="Times New Roman"/>
                <w:b/>
              </w:rPr>
              <w:t xml:space="preserve">uwzględniona </w:t>
            </w:r>
            <w:r w:rsidRPr="00584929">
              <w:rPr>
                <w:rFonts w:ascii="Times New Roman" w:hAnsi="Times New Roman" w:cs="Times New Roman"/>
                <w:b/>
              </w:rPr>
              <w:t xml:space="preserve"> </w:t>
            </w:r>
          </w:p>
          <w:p w14:paraId="67ADC813" w14:textId="51498AAB" w:rsidR="00893992" w:rsidRPr="00584929" w:rsidRDefault="0063178F" w:rsidP="0063178F">
            <w:pPr>
              <w:jc w:val="both"/>
              <w:rPr>
                <w:rFonts w:ascii="Times New Roman" w:hAnsi="Times New Roman" w:cs="Times New Roman"/>
              </w:rPr>
            </w:pPr>
            <w:r w:rsidRPr="00584929">
              <w:rPr>
                <w:rFonts w:ascii="Times New Roman" w:hAnsi="Times New Roman" w:cs="Times New Roman"/>
              </w:rPr>
              <w:t xml:space="preserve">Przepis zostanie zmieniony. </w:t>
            </w:r>
          </w:p>
        </w:tc>
      </w:tr>
      <w:tr w:rsidR="00893992" w:rsidRPr="00584929" w14:paraId="2C721156" w14:textId="77777777" w:rsidTr="00D94ED7">
        <w:tc>
          <w:tcPr>
            <w:tcW w:w="676" w:type="dxa"/>
            <w:shd w:val="clear" w:color="auto" w:fill="auto"/>
          </w:tcPr>
          <w:p w14:paraId="1243383D" w14:textId="77777777" w:rsidR="00893992" w:rsidRPr="00584929" w:rsidRDefault="00893992" w:rsidP="004A29FC">
            <w:pPr>
              <w:pStyle w:val="Akapitzlist"/>
              <w:numPr>
                <w:ilvl w:val="0"/>
                <w:numId w:val="20"/>
              </w:numPr>
              <w:rPr>
                <w:sz w:val="22"/>
                <w:szCs w:val="22"/>
              </w:rPr>
            </w:pPr>
          </w:p>
        </w:tc>
        <w:tc>
          <w:tcPr>
            <w:tcW w:w="1968" w:type="dxa"/>
            <w:shd w:val="clear" w:color="auto" w:fill="auto"/>
          </w:tcPr>
          <w:p w14:paraId="37D13063" w14:textId="56F10C20" w:rsidR="00893992" w:rsidRPr="00584929" w:rsidRDefault="00DC7D81" w:rsidP="004A29FC">
            <w:pPr>
              <w:rPr>
                <w:rFonts w:ascii="Times New Roman" w:hAnsi="Times New Roman" w:cs="Times New Roman"/>
              </w:rPr>
            </w:pPr>
            <w:r w:rsidRPr="00584929">
              <w:rPr>
                <w:rFonts w:ascii="Times New Roman" w:hAnsi="Times New Roman" w:cs="Times New Roman"/>
              </w:rPr>
              <w:t>Ministerstwo Nauki i Szkolnictwa Wyższego</w:t>
            </w:r>
          </w:p>
        </w:tc>
        <w:tc>
          <w:tcPr>
            <w:tcW w:w="1526" w:type="dxa"/>
            <w:shd w:val="clear" w:color="auto" w:fill="auto"/>
          </w:tcPr>
          <w:p w14:paraId="6F3A1097" w14:textId="7822A22D" w:rsidR="00893992" w:rsidRPr="00584929" w:rsidRDefault="00DC7D81" w:rsidP="004A29FC">
            <w:pPr>
              <w:rPr>
                <w:rFonts w:ascii="Times New Roman" w:hAnsi="Times New Roman" w:cs="Times New Roman"/>
              </w:rPr>
            </w:pPr>
            <w:r w:rsidRPr="00584929">
              <w:rPr>
                <w:rFonts w:ascii="Times New Roman" w:hAnsi="Times New Roman" w:cs="Times New Roman"/>
              </w:rPr>
              <w:t>Art. 4 ust. 1 pkt 3 lit. b i pkt 4</w:t>
            </w:r>
          </w:p>
        </w:tc>
        <w:tc>
          <w:tcPr>
            <w:tcW w:w="5323" w:type="dxa"/>
            <w:shd w:val="clear" w:color="auto" w:fill="auto"/>
          </w:tcPr>
          <w:p w14:paraId="0A2816FA" w14:textId="4AF4F8C2" w:rsidR="00DC7D81" w:rsidRPr="00584929" w:rsidRDefault="00DC7D81" w:rsidP="001D6AAD">
            <w:pPr>
              <w:jc w:val="both"/>
              <w:rPr>
                <w:rFonts w:ascii="Times New Roman" w:hAnsi="Times New Roman" w:cs="Times New Roman"/>
              </w:rPr>
            </w:pPr>
            <w:r w:rsidRPr="00584929">
              <w:rPr>
                <w:rFonts w:ascii="Times New Roman" w:hAnsi="Times New Roman" w:cs="Times New Roman"/>
              </w:rPr>
              <w:t>Art. 4 ust. 1 pkt 3 i 4 dotyczą wyłączenia posz</w:t>
            </w:r>
            <w:r w:rsidR="001D6AAD" w:rsidRPr="00584929">
              <w:rPr>
                <w:rFonts w:ascii="Times New Roman" w:hAnsi="Times New Roman" w:cs="Times New Roman"/>
              </w:rPr>
              <w:t>czególnych podmiotów będących w </w:t>
            </w:r>
            <w:r w:rsidRPr="00584929">
              <w:rPr>
                <w:rFonts w:ascii="Times New Roman" w:hAnsi="Times New Roman" w:cs="Times New Roman"/>
              </w:rPr>
              <w:t>posiadaniu informacji sektora publicznego ze stosowania przepisów ustawy. Konstrukcja tych przepisów, zwłaszcza w odniesieniu do bibliotek naukowych, jest jednak na tyle skomplikowana, że trudno ustalić, jaki jest faktyczny zakres wyłączenia. Zgodnie z art. 4 ust. 1 pkt 3 przepisów ustawy nie stosuje się do podmiotów, o których mowa w art. 7 ust. 1 ustawy z dnia 20 lipca 2018 r. –</w:t>
            </w:r>
            <w:r w:rsidR="009819FF" w:rsidRPr="00584929">
              <w:rPr>
                <w:rFonts w:ascii="Times New Roman" w:hAnsi="Times New Roman" w:cs="Times New Roman"/>
              </w:rPr>
              <w:t xml:space="preserve"> Prawo o szkolnictwie wyższym i </w:t>
            </w:r>
            <w:r w:rsidRPr="00584929">
              <w:rPr>
                <w:rFonts w:ascii="Times New Roman" w:hAnsi="Times New Roman" w:cs="Times New Roman"/>
              </w:rPr>
              <w:t>nauce, z wyjątkiem bibliotek naukowych w rozumieniu przepisów ust</w:t>
            </w:r>
            <w:r w:rsidR="00647584" w:rsidRPr="00584929">
              <w:rPr>
                <w:rFonts w:ascii="Times New Roman" w:hAnsi="Times New Roman" w:cs="Times New Roman"/>
              </w:rPr>
              <w:t>awy z dnia 27 czerwca 1997 r. o </w:t>
            </w:r>
            <w:r w:rsidRPr="00584929">
              <w:rPr>
                <w:rFonts w:ascii="Times New Roman" w:hAnsi="Times New Roman" w:cs="Times New Roman"/>
              </w:rPr>
              <w:t>bibliotekach. Takie wyłączenie z wyłączenia należy więc interpretować w taki sposób, że biblioteki naukowe nie są wyłączone. Zgodnie z art. 4 ust. 1 pkt 4 okazuje się jednak, że część bibliotek naukowych (nie zostało doprecyzowane, cz</w:t>
            </w:r>
            <w:r w:rsidR="00647584" w:rsidRPr="00584929">
              <w:rPr>
                <w:rFonts w:ascii="Times New Roman" w:hAnsi="Times New Roman" w:cs="Times New Roman"/>
              </w:rPr>
              <w:t>y również w rozumieniu ustawy o </w:t>
            </w:r>
            <w:r w:rsidRPr="00584929">
              <w:rPr>
                <w:rFonts w:ascii="Times New Roman" w:hAnsi="Times New Roman" w:cs="Times New Roman"/>
              </w:rPr>
              <w:t xml:space="preserve">bibliotekach) jest jednak wyłączona. Dotyczy to bibliotek naukowych, których organizatorem są jednostki sektora publicznego. Tu również pojawia się wątpliwość, </w:t>
            </w:r>
            <w:r w:rsidRPr="00584929">
              <w:rPr>
                <w:rFonts w:ascii="Times New Roman" w:hAnsi="Times New Roman" w:cs="Times New Roman"/>
              </w:rPr>
              <w:lastRenderedPageBreak/>
              <w:t>co to są „jednostki sektora publicz</w:t>
            </w:r>
            <w:r w:rsidR="009819FF" w:rsidRPr="00584929">
              <w:rPr>
                <w:rFonts w:ascii="Times New Roman" w:hAnsi="Times New Roman" w:cs="Times New Roman"/>
              </w:rPr>
              <w:t>nego”</w:t>
            </w:r>
            <w:r w:rsidR="00647584" w:rsidRPr="00584929">
              <w:rPr>
                <w:rFonts w:ascii="Times New Roman" w:hAnsi="Times New Roman" w:cs="Times New Roman"/>
              </w:rPr>
              <w:t>. Czy chodzi o </w:t>
            </w:r>
            <w:r w:rsidR="009819FF" w:rsidRPr="00584929">
              <w:rPr>
                <w:rFonts w:ascii="Times New Roman" w:hAnsi="Times New Roman" w:cs="Times New Roman"/>
              </w:rPr>
              <w:t>podmioty, o </w:t>
            </w:r>
            <w:r w:rsidRPr="00584929">
              <w:rPr>
                <w:rFonts w:ascii="Times New Roman" w:hAnsi="Times New Roman" w:cs="Times New Roman"/>
              </w:rPr>
              <w:t>których mowa w art. 3?</w:t>
            </w:r>
          </w:p>
          <w:p w14:paraId="3F061E55" w14:textId="77777777" w:rsidR="00DC7D81" w:rsidRPr="00584929" w:rsidRDefault="00DC7D81" w:rsidP="001D6AAD">
            <w:pPr>
              <w:jc w:val="both"/>
              <w:rPr>
                <w:rFonts w:ascii="Times New Roman" w:hAnsi="Times New Roman" w:cs="Times New Roman"/>
              </w:rPr>
            </w:pPr>
            <w:r w:rsidRPr="00584929">
              <w:rPr>
                <w:rFonts w:ascii="Times New Roman" w:hAnsi="Times New Roman" w:cs="Times New Roman"/>
              </w:rPr>
              <w:t>Proponuje się usunąć pkt 4 w art. 4 ust. 1, a lit. b w art. 4 ust. 1 pkt 3 nadać brzmienie:</w:t>
            </w:r>
          </w:p>
          <w:p w14:paraId="219B6DC3" w14:textId="1075F705" w:rsidR="00893992" w:rsidRPr="00584929" w:rsidRDefault="00DC7D81" w:rsidP="001D6AAD">
            <w:pPr>
              <w:jc w:val="both"/>
              <w:rPr>
                <w:rFonts w:ascii="Times New Roman" w:hAnsi="Times New Roman" w:cs="Times New Roman"/>
              </w:rPr>
            </w:pPr>
            <w:r w:rsidRPr="00584929">
              <w:rPr>
                <w:rFonts w:ascii="Times New Roman" w:hAnsi="Times New Roman" w:cs="Times New Roman"/>
              </w:rPr>
              <w:t>„b) bibliotek naukowych, o których mowa w art. 21 ust. 2 pkt 1–4 ustawy z dnia 27 czerwca 1997 r. o bibliot</w:t>
            </w:r>
            <w:r w:rsidR="00C02828" w:rsidRPr="00584929">
              <w:rPr>
                <w:rFonts w:ascii="Times New Roman" w:hAnsi="Times New Roman" w:cs="Times New Roman"/>
              </w:rPr>
              <w:t>ekach,”.</w:t>
            </w:r>
          </w:p>
        </w:tc>
        <w:tc>
          <w:tcPr>
            <w:tcW w:w="4785" w:type="dxa"/>
            <w:shd w:val="clear" w:color="auto" w:fill="auto"/>
          </w:tcPr>
          <w:p w14:paraId="721D79CA" w14:textId="77777777" w:rsidR="00647584" w:rsidRPr="00584929" w:rsidRDefault="003D18B8" w:rsidP="00647584">
            <w:pPr>
              <w:rPr>
                <w:rFonts w:ascii="Times New Roman" w:hAnsi="Times New Roman" w:cs="Times New Roman"/>
              </w:rPr>
            </w:pPr>
            <w:r w:rsidRPr="00584929">
              <w:rPr>
                <w:rFonts w:ascii="Times New Roman" w:hAnsi="Times New Roman" w:cs="Times New Roman"/>
                <w:b/>
              </w:rPr>
              <w:lastRenderedPageBreak/>
              <w:t>Uwaga uwzględniona częściowo</w:t>
            </w:r>
            <w:r w:rsidRPr="00584929">
              <w:rPr>
                <w:rFonts w:ascii="Times New Roman" w:hAnsi="Times New Roman" w:cs="Times New Roman"/>
              </w:rPr>
              <w:t xml:space="preserve"> </w:t>
            </w:r>
          </w:p>
          <w:p w14:paraId="0E9DE920" w14:textId="6FA88E5B" w:rsidR="00647584" w:rsidRPr="00584929" w:rsidRDefault="00624652" w:rsidP="00647584">
            <w:pPr>
              <w:rPr>
                <w:rFonts w:ascii="Times New Roman" w:hAnsi="Times New Roman" w:cs="Times New Roman"/>
              </w:rPr>
            </w:pPr>
            <w:r w:rsidRPr="00584929">
              <w:rPr>
                <w:rFonts w:ascii="Times New Roman" w:hAnsi="Times New Roman" w:cs="Times New Roman"/>
              </w:rPr>
              <w:t xml:space="preserve">1. </w:t>
            </w:r>
            <w:r w:rsidR="00647584" w:rsidRPr="00584929">
              <w:rPr>
                <w:rFonts w:ascii="Times New Roman" w:hAnsi="Times New Roman" w:cs="Times New Roman"/>
              </w:rPr>
              <w:t>Art. 4 ust. 1 pkt 4.</w:t>
            </w:r>
          </w:p>
          <w:p w14:paraId="11F8A93D" w14:textId="2F1DCD7E" w:rsidR="003D18B8" w:rsidRPr="00584929" w:rsidRDefault="00647584" w:rsidP="00647584">
            <w:pPr>
              <w:jc w:val="both"/>
              <w:rPr>
                <w:rFonts w:ascii="Times New Roman" w:hAnsi="Times New Roman" w:cs="Times New Roman"/>
              </w:rPr>
            </w:pPr>
            <w:r w:rsidRPr="00584929">
              <w:rPr>
                <w:rFonts w:ascii="Times New Roman" w:hAnsi="Times New Roman" w:cs="Times New Roman"/>
              </w:rPr>
              <w:t xml:space="preserve">Art. 4 ust. 1 pkt 4 projektu zostanie zmieniony poprzez </w:t>
            </w:r>
            <w:r w:rsidR="003D18B8" w:rsidRPr="00584929">
              <w:rPr>
                <w:rFonts w:ascii="Times New Roman" w:hAnsi="Times New Roman" w:cs="Times New Roman"/>
              </w:rPr>
              <w:t xml:space="preserve">zastąpienie </w:t>
            </w:r>
            <w:r w:rsidR="009D62A9" w:rsidRPr="00584929">
              <w:rPr>
                <w:rFonts w:ascii="Times New Roman" w:hAnsi="Times New Roman" w:cs="Times New Roman"/>
              </w:rPr>
              <w:t>pojęcia</w:t>
            </w:r>
            <w:r w:rsidR="003D18B8" w:rsidRPr="00584929">
              <w:rPr>
                <w:rFonts w:ascii="Times New Roman" w:hAnsi="Times New Roman" w:cs="Times New Roman"/>
              </w:rPr>
              <w:t xml:space="preserve"> „jednostki sektora publicznego” </w:t>
            </w:r>
            <w:r w:rsidR="007C08E0" w:rsidRPr="00584929">
              <w:rPr>
                <w:rFonts w:ascii="Times New Roman" w:hAnsi="Times New Roman" w:cs="Times New Roman"/>
              </w:rPr>
              <w:t xml:space="preserve">wyrażeniem </w:t>
            </w:r>
            <w:r w:rsidR="003D18B8" w:rsidRPr="00584929">
              <w:rPr>
                <w:rFonts w:ascii="Times New Roman" w:hAnsi="Times New Roman" w:cs="Times New Roman"/>
              </w:rPr>
              <w:t>„podmioty zobowiązane</w:t>
            </w:r>
            <w:r w:rsidRPr="00584929">
              <w:rPr>
                <w:rFonts w:ascii="Times New Roman" w:hAnsi="Times New Roman" w:cs="Times New Roman"/>
              </w:rPr>
              <w:t xml:space="preserve"> o których mowa w art. 3 pkt 1-4</w:t>
            </w:r>
            <w:r w:rsidR="00CA090A" w:rsidRPr="00584929">
              <w:rPr>
                <w:rFonts w:ascii="Times New Roman" w:hAnsi="Times New Roman" w:cs="Times New Roman"/>
              </w:rPr>
              <w:t>”</w:t>
            </w:r>
            <w:r w:rsidRPr="00584929">
              <w:rPr>
                <w:rFonts w:ascii="Times New Roman" w:hAnsi="Times New Roman" w:cs="Times New Roman"/>
              </w:rPr>
              <w:t>. Dodatkowo przepis zostanie uzupeł</w:t>
            </w:r>
            <w:r w:rsidR="009D62A9" w:rsidRPr="00584929">
              <w:rPr>
                <w:rFonts w:ascii="Times New Roman" w:hAnsi="Times New Roman" w:cs="Times New Roman"/>
              </w:rPr>
              <w:t xml:space="preserve">niony o sprecyzowanie, że biblioteki naukowe, o których mowa tym przepisie to biblioteki naukowe w rozumieniu przepisów ustawy z dnia 27 czerwca 1997 r. o bibliotekach. </w:t>
            </w:r>
          </w:p>
          <w:p w14:paraId="586DB522" w14:textId="77777777" w:rsidR="00524E1C" w:rsidRPr="00584929" w:rsidRDefault="00524E1C" w:rsidP="00647584">
            <w:pPr>
              <w:jc w:val="both"/>
              <w:rPr>
                <w:rFonts w:ascii="Times New Roman" w:hAnsi="Times New Roman" w:cs="Times New Roman"/>
              </w:rPr>
            </w:pPr>
          </w:p>
          <w:p w14:paraId="7E92645E" w14:textId="29CBCE6E" w:rsidR="009D62A9" w:rsidRPr="00584929" w:rsidRDefault="00624652" w:rsidP="00647584">
            <w:pPr>
              <w:jc w:val="both"/>
              <w:rPr>
                <w:rFonts w:ascii="Times New Roman" w:hAnsi="Times New Roman" w:cs="Times New Roman"/>
                <w:lang w:val="en-GB"/>
              </w:rPr>
            </w:pPr>
            <w:r w:rsidRPr="00584929">
              <w:rPr>
                <w:rFonts w:ascii="Times New Roman" w:hAnsi="Times New Roman" w:cs="Times New Roman"/>
                <w:lang w:val="en-GB"/>
              </w:rPr>
              <w:t xml:space="preserve">2. </w:t>
            </w:r>
            <w:r w:rsidR="009D62A9" w:rsidRPr="00584929">
              <w:rPr>
                <w:rFonts w:ascii="Times New Roman" w:hAnsi="Times New Roman" w:cs="Times New Roman"/>
                <w:lang w:val="en-GB"/>
              </w:rPr>
              <w:t>Art. 4 ust. 1 pkt 3</w:t>
            </w:r>
            <w:r w:rsidRPr="00584929">
              <w:rPr>
                <w:rFonts w:ascii="Times New Roman" w:hAnsi="Times New Roman" w:cs="Times New Roman"/>
                <w:lang w:val="en-GB"/>
              </w:rPr>
              <w:t xml:space="preserve"> lit. b</w:t>
            </w:r>
            <w:r w:rsidR="009D62A9" w:rsidRPr="00584929">
              <w:rPr>
                <w:rFonts w:ascii="Times New Roman" w:hAnsi="Times New Roman" w:cs="Times New Roman"/>
                <w:lang w:val="en-GB"/>
              </w:rPr>
              <w:t>.</w:t>
            </w:r>
          </w:p>
          <w:p w14:paraId="751AECDB" w14:textId="7FFDB16C" w:rsidR="00624652" w:rsidRPr="00584929" w:rsidRDefault="00624652" w:rsidP="00624652">
            <w:pPr>
              <w:jc w:val="both"/>
              <w:rPr>
                <w:rFonts w:ascii="Times New Roman" w:hAnsi="Times New Roman" w:cs="Times New Roman"/>
              </w:rPr>
            </w:pPr>
            <w:r w:rsidRPr="00584929">
              <w:rPr>
                <w:rFonts w:ascii="Times New Roman" w:hAnsi="Times New Roman" w:cs="Times New Roman"/>
              </w:rPr>
              <w:t>Projektowane przepisy w omawianym zakresie są co do zasady tożsame z obecnie obowiązującymi (ustawa z 2016 r.). Zgodnie z art. 4 ust. 1 pkt 3 lit. b (</w:t>
            </w:r>
            <w:r w:rsidR="00574849" w:rsidRPr="00584929">
              <w:rPr>
                <w:rFonts w:ascii="Times New Roman" w:hAnsi="Times New Roman" w:cs="Times New Roman"/>
              </w:rPr>
              <w:t xml:space="preserve">w </w:t>
            </w:r>
            <w:r w:rsidRPr="00584929">
              <w:rPr>
                <w:rFonts w:ascii="Times New Roman" w:hAnsi="Times New Roman" w:cs="Times New Roman"/>
              </w:rPr>
              <w:t>wersji projektu</w:t>
            </w:r>
            <w:r w:rsidR="00574849" w:rsidRPr="00584929">
              <w:rPr>
                <w:rFonts w:ascii="Times New Roman" w:hAnsi="Times New Roman" w:cs="Times New Roman"/>
              </w:rPr>
              <w:t xml:space="preserve"> po konferencji uzgodnieniowej – art. 4 ust. 1 pkt 3 lit. a</w:t>
            </w:r>
            <w:r w:rsidRPr="00584929">
              <w:rPr>
                <w:rFonts w:ascii="Times New Roman" w:hAnsi="Times New Roman" w:cs="Times New Roman"/>
              </w:rPr>
              <w:t>) oraz pkt 4 projektu:</w:t>
            </w:r>
          </w:p>
          <w:p w14:paraId="24FD8811" w14:textId="2AD6C981" w:rsidR="00624652" w:rsidRPr="00584929" w:rsidRDefault="00624652" w:rsidP="00A07FD4">
            <w:pPr>
              <w:pStyle w:val="Akapitzlist"/>
              <w:numPr>
                <w:ilvl w:val="0"/>
                <w:numId w:val="28"/>
              </w:numPr>
              <w:ind w:left="317" w:hanging="284"/>
              <w:jc w:val="both"/>
              <w:rPr>
                <w:sz w:val="22"/>
                <w:szCs w:val="22"/>
              </w:rPr>
            </w:pPr>
            <w:r w:rsidRPr="00584929">
              <w:rPr>
                <w:sz w:val="22"/>
                <w:szCs w:val="22"/>
              </w:rPr>
              <w:t>ustawę stosuje się do ISP będących w posiadaniu bibliotek naukowych w rozumieniu przepisów ustawy z dnia 27 czerwca 1997 r.,</w:t>
            </w:r>
          </w:p>
          <w:p w14:paraId="692A4228" w14:textId="26F6B978" w:rsidR="00624652" w:rsidRPr="00584929" w:rsidRDefault="00624652" w:rsidP="00A07FD4">
            <w:pPr>
              <w:pStyle w:val="Akapitzlist"/>
              <w:numPr>
                <w:ilvl w:val="0"/>
                <w:numId w:val="28"/>
              </w:numPr>
              <w:ind w:left="317" w:hanging="284"/>
              <w:jc w:val="both"/>
              <w:rPr>
                <w:sz w:val="22"/>
                <w:szCs w:val="22"/>
              </w:rPr>
            </w:pPr>
            <w:r w:rsidRPr="00584929">
              <w:rPr>
                <w:sz w:val="22"/>
                <w:szCs w:val="22"/>
              </w:rPr>
              <w:lastRenderedPageBreak/>
              <w:t>ustawy nie stosuje się do ISP będących w posiadaniu bibliotek naukowych w rozumieniu przepisów ustawy z dnia 27 czerwca 1997 r, których organizatorami nie są podmioty zobowiązane, o których mowa w art. 3 pkt 1-4.</w:t>
            </w:r>
          </w:p>
          <w:p w14:paraId="1538F2E4" w14:textId="370920C0" w:rsidR="00624652" w:rsidRPr="00584929" w:rsidRDefault="00624652" w:rsidP="00624652">
            <w:pPr>
              <w:jc w:val="both"/>
              <w:rPr>
                <w:rFonts w:ascii="Times New Roman" w:hAnsi="Times New Roman" w:cs="Times New Roman"/>
              </w:rPr>
            </w:pPr>
            <w:r w:rsidRPr="00584929">
              <w:rPr>
                <w:rFonts w:ascii="Times New Roman" w:hAnsi="Times New Roman" w:cs="Times New Roman"/>
              </w:rPr>
              <w:t>Zgodnie z art. 21 ust. 2 ustawy z dnia 27 czerwca 1997 r.  o bibliotekach (Dz. U. z 2019 r. poz. 1479) do bibliotek naukowych należą:</w:t>
            </w:r>
          </w:p>
          <w:p w14:paraId="44CAE00E" w14:textId="77464AA7" w:rsidR="00624652" w:rsidRPr="00584929" w:rsidRDefault="00624652" w:rsidP="00A07FD4">
            <w:pPr>
              <w:pStyle w:val="Akapitzlist"/>
              <w:numPr>
                <w:ilvl w:val="0"/>
                <w:numId w:val="29"/>
              </w:numPr>
              <w:ind w:left="317" w:hanging="284"/>
              <w:jc w:val="both"/>
              <w:rPr>
                <w:sz w:val="22"/>
                <w:szCs w:val="22"/>
              </w:rPr>
            </w:pPr>
            <w:r w:rsidRPr="00584929">
              <w:rPr>
                <w:sz w:val="22"/>
                <w:szCs w:val="22"/>
              </w:rPr>
              <w:t>Biblioteka Narodowa;</w:t>
            </w:r>
          </w:p>
          <w:p w14:paraId="36026103" w14:textId="31465CE4" w:rsidR="00624652" w:rsidRPr="00584929" w:rsidRDefault="00624652" w:rsidP="00A07FD4">
            <w:pPr>
              <w:pStyle w:val="Akapitzlist"/>
              <w:numPr>
                <w:ilvl w:val="0"/>
                <w:numId w:val="29"/>
              </w:numPr>
              <w:ind w:left="317" w:hanging="284"/>
              <w:jc w:val="both"/>
              <w:rPr>
                <w:sz w:val="22"/>
                <w:szCs w:val="22"/>
              </w:rPr>
            </w:pPr>
            <w:r w:rsidRPr="00584929">
              <w:rPr>
                <w:sz w:val="22"/>
                <w:szCs w:val="22"/>
              </w:rPr>
              <w:t>biblioteki, których organizatorami są szkoły wyższe;</w:t>
            </w:r>
          </w:p>
          <w:p w14:paraId="14508776" w14:textId="2E2846CF" w:rsidR="00624652" w:rsidRPr="00584929" w:rsidRDefault="00624652" w:rsidP="00A07FD4">
            <w:pPr>
              <w:pStyle w:val="Akapitzlist"/>
              <w:numPr>
                <w:ilvl w:val="0"/>
                <w:numId w:val="29"/>
              </w:numPr>
              <w:ind w:left="317" w:hanging="284"/>
              <w:jc w:val="both"/>
              <w:rPr>
                <w:sz w:val="22"/>
                <w:szCs w:val="22"/>
              </w:rPr>
            </w:pPr>
            <w:r w:rsidRPr="00584929">
              <w:rPr>
                <w:sz w:val="22"/>
                <w:szCs w:val="22"/>
              </w:rPr>
              <w:t>biblioteki, których organizatorem jest Polska Akademia Nauk;</w:t>
            </w:r>
          </w:p>
          <w:p w14:paraId="70696566" w14:textId="7BA7E57B" w:rsidR="00624652" w:rsidRPr="00584929" w:rsidRDefault="00624652" w:rsidP="00A07FD4">
            <w:pPr>
              <w:pStyle w:val="Akapitzlist"/>
              <w:numPr>
                <w:ilvl w:val="0"/>
                <w:numId w:val="29"/>
              </w:numPr>
              <w:ind w:left="317" w:hanging="284"/>
              <w:jc w:val="both"/>
              <w:rPr>
                <w:sz w:val="22"/>
                <w:szCs w:val="22"/>
              </w:rPr>
            </w:pPr>
            <w:r w:rsidRPr="00584929">
              <w:rPr>
                <w:sz w:val="22"/>
                <w:szCs w:val="22"/>
              </w:rPr>
              <w:t>biblioteki, których organizatorami są jednostki badawczo-rozwojowe;</w:t>
            </w:r>
          </w:p>
          <w:p w14:paraId="4D9E4665" w14:textId="750D2E37" w:rsidR="00624652" w:rsidRPr="00584929" w:rsidRDefault="00624652" w:rsidP="00A07FD4">
            <w:pPr>
              <w:pStyle w:val="Akapitzlist"/>
              <w:numPr>
                <w:ilvl w:val="0"/>
                <w:numId w:val="29"/>
              </w:numPr>
              <w:ind w:left="317" w:hanging="284"/>
              <w:jc w:val="both"/>
            </w:pPr>
            <w:r w:rsidRPr="00584929">
              <w:rPr>
                <w:sz w:val="22"/>
                <w:szCs w:val="22"/>
              </w:rPr>
              <w:t>inne biblioteki.</w:t>
            </w:r>
          </w:p>
          <w:p w14:paraId="4C68E9D1" w14:textId="02DB067B" w:rsidR="00624652" w:rsidRPr="00584929" w:rsidRDefault="00624652" w:rsidP="00624652">
            <w:pPr>
              <w:ind w:left="33"/>
              <w:jc w:val="both"/>
              <w:rPr>
                <w:rFonts w:ascii="Times New Roman" w:hAnsi="Times New Roman" w:cs="Times New Roman"/>
              </w:rPr>
            </w:pPr>
            <w:r w:rsidRPr="00584929">
              <w:rPr>
                <w:rFonts w:ascii="Times New Roman" w:hAnsi="Times New Roman" w:cs="Times New Roman"/>
              </w:rPr>
              <w:t xml:space="preserve">W opinii projektodawcy </w:t>
            </w:r>
            <w:r w:rsidR="00A85C9C" w:rsidRPr="00584929">
              <w:rPr>
                <w:rFonts w:ascii="Times New Roman" w:hAnsi="Times New Roman" w:cs="Times New Roman"/>
              </w:rPr>
              <w:t xml:space="preserve">proponowana </w:t>
            </w:r>
            <w:r w:rsidRPr="00584929">
              <w:rPr>
                <w:rFonts w:ascii="Times New Roman" w:hAnsi="Times New Roman" w:cs="Times New Roman"/>
              </w:rPr>
              <w:t xml:space="preserve">zmiana art. 4 ust. 1 pkt 3 lit. b projektu </w:t>
            </w:r>
            <w:r w:rsidR="00A85C9C" w:rsidRPr="00584929">
              <w:rPr>
                <w:rFonts w:ascii="Times New Roman" w:hAnsi="Times New Roman" w:cs="Times New Roman"/>
              </w:rPr>
              <w:t xml:space="preserve">polegająca na </w:t>
            </w:r>
            <w:r w:rsidRPr="00584929">
              <w:rPr>
                <w:rFonts w:ascii="Times New Roman" w:hAnsi="Times New Roman" w:cs="Times New Roman"/>
              </w:rPr>
              <w:t>ograniczeni</w:t>
            </w:r>
            <w:r w:rsidR="00A85C9C" w:rsidRPr="00584929">
              <w:rPr>
                <w:rFonts w:ascii="Times New Roman" w:hAnsi="Times New Roman" w:cs="Times New Roman"/>
              </w:rPr>
              <w:t>u</w:t>
            </w:r>
            <w:r w:rsidRPr="00584929">
              <w:rPr>
                <w:rFonts w:ascii="Times New Roman" w:hAnsi="Times New Roman" w:cs="Times New Roman"/>
              </w:rPr>
              <w:t xml:space="preserve"> wyjątku dotyczącego bibliotek naukowych tylko do podmiotów wymienionych w art. 21 ust. 2 pkt 1–4 ustawy o bibliotekach (</w:t>
            </w:r>
            <w:r w:rsidR="009D2955" w:rsidRPr="00584929">
              <w:rPr>
                <w:rFonts w:ascii="Times New Roman" w:hAnsi="Times New Roman" w:cs="Times New Roman"/>
              </w:rPr>
              <w:t>z </w:t>
            </w:r>
            <w:r w:rsidRPr="00584929">
              <w:rPr>
                <w:rFonts w:ascii="Times New Roman" w:hAnsi="Times New Roman" w:cs="Times New Roman"/>
              </w:rPr>
              <w:t>pominięcie</w:t>
            </w:r>
            <w:r w:rsidR="00A85C9C" w:rsidRPr="00584929">
              <w:rPr>
                <w:rFonts w:ascii="Times New Roman" w:hAnsi="Times New Roman" w:cs="Times New Roman"/>
              </w:rPr>
              <w:t>m</w:t>
            </w:r>
            <w:r w:rsidRPr="00584929">
              <w:rPr>
                <w:rFonts w:ascii="Times New Roman" w:hAnsi="Times New Roman" w:cs="Times New Roman"/>
              </w:rPr>
              <w:t xml:space="preserve"> pkt 5 w art. 21 ust. 2 tej ustawy) ograniczyłoby krąg bibliotek naukowych, które na zasadzie wyjątku od generalnego wyłączenie podmiotów wchodzących w skład systemu szkolnictwa wyższego i nauki, podlegałby przepisom ustawy. Zgodnie z </w:t>
            </w:r>
            <w:r w:rsidR="00A85C9C" w:rsidRPr="00584929">
              <w:rPr>
                <w:rFonts w:ascii="Times New Roman" w:hAnsi="Times New Roman" w:cs="Times New Roman"/>
              </w:rPr>
              <w:t>w</w:t>
            </w:r>
            <w:r w:rsidRPr="00584929">
              <w:rPr>
                <w:rFonts w:ascii="Times New Roman" w:hAnsi="Times New Roman" w:cs="Times New Roman"/>
              </w:rPr>
              <w:t>ykazem bibliotek zaliczanych do bibliotek naukowych stanowiącym załącznik do ro</w:t>
            </w:r>
            <w:r w:rsidR="009D2955" w:rsidRPr="00584929">
              <w:rPr>
                <w:rFonts w:ascii="Times New Roman" w:hAnsi="Times New Roman" w:cs="Times New Roman"/>
              </w:rPr>
              <w:t>zporządzenia Ministra Kultury i </w:t>
            </w:r>
            <w:r w:rsidRPr="00584929">
              <w:rPr>
                <w:rFonts w:ascii="Times New Roman" w:hAnsi="Times New Roman" w:cs="Times New Roman"/>
              </w:rPr>
              <w:t>Dziedzictwa Na</w:t>
            </w:r>
            <w:r w:rsidR="009D2955" w:rsidRPr="00584929">
              <w:rPr>
                <w:rFonts w:ascii="Times New Roman" w:hAnsi="Times New Roman" w:cs="Times New Roman"/>
              </w:rPr>
              <w:t>rodowego z dnia 2 kwietnia 2012 </w:t>
            </w:r>
            <w:r w:rsidRPr="00584929">
              <w:rPr>
                <w:rFonts w:ascii="Times New Roman" w:hAnsi="Times New Roman" w:cs="Times New Roman"/>
              </w:rPr>
              <w:t xml:space="preserve">r. </w:t>
            </w:r>
            <w:r w:rsidR="00A85C9C" w:rsidRPr="00584929">
              <w:rPr>
                <w:rFonts w:ascii="Times New Roman" w:hAnsi="Times New Roman" w:cs="Times New Roman"/>
              </w:rPr>
              <w:t>w sprawie sposobu i trybu zaliczania bibliotek do niektórych bibliotek naukowych oraz ustalenia ich wykazu (Dz. U. z </w:t>
            </w:r>
            <w:r w:rsidRPr="00584929">
              <w:rPr>
                <w:rFonts w:ascii="Times New Roman" w:hAnsi="Times New Roman" w:cs="Times New Roman"/>
              </w:rPr>
              <w:t>2016 r. poz. 137</w:t>
            </w:r>
            <w:r w:rsidR="009D2955" w:rsidRPr="00584929">
              <w:rPr>
                <w:rFonts w:ascii="Times New Roman" w:hAnsi="Times New Roman" w:cs="Times New Roman"/>
              </w:rPr>
              <w:t>, z </w:t>
            </w:r>
            <w:r w:rsidR="00A85C9C" w:rsidRPr="00584929">
              <w:rPr>
                <w:rFonts w:ascii="Times New Roman" w:hAnsi="Times New Roman" w:cs="Times New Roman"/>
              </w:rPr>
              <w:t>późn. zm.</w:t>
            </w:r>
            <w:r w:rsidRPr="00584929">
              <w:rPr>
                <w:rFonts w:ascii="Times New Roman" w:hAnsi="Times New Roman" w:cs="Times New Roman"/>
              </w:rPr>
              <w:t xml:space="preserve">) do bibliotek </w:t>
            </w:r>
            <w:r w:rsidR="00A85C9C" w:rsidRPr="00584929">
              <w:rPr>
                <w:rFonts w:ascii="Times New Roman" w:hAnsi="Times New Roman" w:cs="Times New Roman"/>
              </w:rPr>
              <w:t xml:space="preserve">zaliczonych do bibliotek </w:t>
            </w:r>
            <w:r w:rsidRPr="00584929">
              <w:rPr>
                <w:rFonts w:ascii="Times New Roman" w:hAnsi="Times New Roman" w:cs="Times New Roman"/>
              </w:rPr>
              <w:lastRenderedPageBreak/>
              <w:t>naukowych zalicza się obecnie 3</w:t>
            </w:r>
            <w:r w:rsidR="00A85C9C" w:rsidRPr="00584929">
              <w:rPr>
                <w:rFonts w:ascii="Times New Roman" w:hAnsi="Times New Roman" w:cs="Times New Roman"/>
              </w:rPr>
              <w:t>3</w:t>
            </w:r>
            <w:r w:rsidRPr="00584929">
              <w:rPr>
                <w:rFonts w:ascii="Times New Roman" w:hAnsi="Times New Roman" w:cs="Times New Roman"/>
              </w:rPr>
              <w:t xml:space="preserve"> biblioteki, w tym również podmioty, które zaliczyć </w:t>
            </w:r>
            <w:r w:rsidR="00A85C9C" w:rsidRPr="00584929">
              <w:rPr>
                <w:rFonts w:ascii="Times New Roman" w:hAnsi="Times New Roman" w:cs="Times New Roman"/>
              </w:rPr>
              <w:t>należy do „innych bibliotek”, o </w:t>
            </w:r>
            <w:r w:rsidRPr="00584929">
              <w:rPr>
                <w:rFonts w:ascii="Times New Roman" w:hAnsi="Times New Roman" w:cs="Times New Roman"/>
              </w:rPr>
              <w:t xml:space="preserve">których mowa </w:t>
            </w:r>
            <w:r w:rsidR="00A85C9C" w:rsidRPr="00584929">
              <w:rPr>
                <w:rFonts w:ascii="Times New Roman" w:hAnsi="Times New Roman" w:cs="Times New Roman"/>
              </w:rPr>
              <w:t>w art. 21 ust. 2 pkt 5 ustawy o </w:t>
            </w:r>
            <w:r w:rsidRPr="00584929">
              <w:rPr>
                <w:rFonts w:ascii="Times New Roman" w:hAnsi="Times New Roman" w:cs="Times New Roman"/>
              </w:rPr>
              <w:t>bibliotekach, np. Biblioteka Sejmowa.</w:t>
            </w:r>
          </w:p>
          <w:p w14:paraId="4D5237BB" w14:textId="77777777" w:rsidR="00A85C9C" w:rsidRPr="00584929" w:rsidRDefault="00624652" w:rsidP="00A85C9C">
            <w:pPr>
              <w:jc w:val="both"/>
              <w:rPr>
                <w:rFonts w:ascii="Times New Roman" w:hAnsi="Times New Roman" w:cs="Times New Roman"/>
              </w:rPr>
            </w:pPr>
            <w:r w:rsidRPr="00584929">
              <w:rPr>
                <w:rFonts w:ascii="Times New Roman" w:hAnsi="Times New Roman" w:cs="Times New Roman"/>
              </w:rPr>
              <w:t>Jednocześnie konieczne jest pozostawienie wyłączenia, o którym mowa w art. 4 ust. 1 pkt 4 projektu, zgodnie z którym ustawy nie stosuje się do bibliotek naukowych, których organizatorami nie są</w:t>
            </w:r>
          </w:p>
          <w:p w14:paraId="62CEA3E2" w14:textId="71B2F5B8" w:rsidR="00624652" w:rsidRPr="00584929" w:rsidRDefault="00A85C9C" w:rsidP="00A85C9C">
            <w:pPr>
              <w:jc w:val="both"/>
              <w:rPr>
                <w:rFonts w:ascii="Times New Roman" w:hAnsi="Times New Roman" w:cs="Times New Roman"/>
              </w:rPr>
            </w:pPr>
            <w:r w:rsidRPr="00584929">
              <w:rPr>
                <w:rFonts w:ascii="Times New Roman" w:hAnsi="Times New Roman" w:cs="Times New Roman"/>
              </w:rPr>
              <w:t>podmioty zobowiązane, o których mowa w art. 3 pkt 1-4.</w:t>
            </w:r>
            <w:r w:rsidR="00624652" w:rsidRPr="00584929">
              <w:rPr>
                <w:rFonts w:ascii="Times New Roman" w:hAnsi="Times New Roman" w:cs="Times New Roman"/>
              </w:rPr>
              <w:t xml:space="preserve"> Do bibliotek naukowych w rozumieniu art. 21 ust. 2 ustawy o bibliotekach mogą zaliczać się podmioty, których organizatorami nie będą podmioty zobowiązane, np. </w:t>
            </w:r>
            <w:r w:rsidRPr="00584929">
              <w:rPr>
                <w:rFonts w:ascii="Times New Roman" w:hAnsi="Times New Roman" w:cs="Times New Roman"/>
              </w:rPr>
              <w:t>Polskie Centrum Informacji Muzycznej POLMIC/Biblioteka - Fonoteka Związku Kompozytorów Polskich.</w:t>
            </w:r>
          </w:p>
        </w:tc>
      </w:tr>
      <w:tr w:rsidR="00FA0CB8" w:rsidRPr="00584929" w14:paraId="0AF5B2B1" w14:textId="77777777" w:rsidTr="00D94ED7">
        <w:tc>
          <w:tcPr>
            <w:tcW w:w="676" w:type="dxa"/>
            <w:shd w:val="clear" w:color="auto" w:fill="auto"/>
          </w:tcPr>
          <w:p w14:paraId="1693D326" w14:textId="77777777" w:rsidR="00FA0CB8" w:rsidRPr="00584929" w:rsidRDefault="00FA0CB8" w:rsidP="004A29FC">
            <w:pPr>
              <w:pStyle w:val="Akapitzlist"/>
              <w:numPr>
                <w:ilvl w:val="0"/>
                <w:numId w:val="20"/>
              </w:numPr>
              <w:rPr>
                <w:sz w:val="22"/>
                <w:szCs w:val="22"/>
              </w:rPr>
            </w:pPr>
          </w:p>
        </w:tc>
        <w:tc>
          <w:tcPr>
            <w:tcW w:w="1968" w:type="dxa"/>
            <w:shd w:val="clear" w:color="auto" w:fill="auto"/>
          </w:tcPr>
          <w:p w14:paraId="16B1EC4C" w14:textId="77777777" w:rsidR="00FA0CB8" w:rsidRPr="00584929" w:rsidRDefault="00FA0CB8" w:rsidP="004A29FC">
            <w:pPr>
              <w:rPr>
                <w:rFonts w:ascii="Times New Roman" w:hAnsi="Times New Roman" w:cs="Times New Roman"/>
              </w:rPr>
            </w:pPr>
            <w:r w:rsidRPr="00584929">
              <w:rPr>
                <w:rFonts w:ascii="Times New Roman" w:hAnsi="Times New Roman" w:cs="Times New Roman"/>
              </w:rPr>
              <w:t>Rządowe Centrum Legislacji</w:t>
            </w:r>
          </w:p>
          <w:p w14:paraId="40180503" w14:textId="77777777" w:rsidR="00FA0CB8" w:rsidRPr="00584929" w:rsidRDefault="00FA0CB8" w:rsidP="004A29FC">
            <w:pPr>
              <w:rPr>
                <w:rFonts w:ascii="Times New Roman" w:hAnsi="Times New Roman" w:cs="Times New Roman"/>
              </w:rPr>
            </w:pPr>
          </w:p>
        </w:tc>
        <w:tc>
          <w:tcPr>
            <w:tcW w:w="1526" w:type="dxa"/>
            <w:shd w:val="clear" w:color="auto" w:fill="auto"/>
          </w:tcPr>
          <w:p w14:paraId="7485245F" w14:textId="7BFC9EF3" w:rsidR="00FA0CB8" w:rsidRPr="00584929" w:rsidRDefault="00FA0CB8" w:rsidP="004A29FC">
            <w:pPr>
              <w:rPr>
                <w:rFonts w:ascii="Times New Roman" w:hAnsi="Times New Roman" w:cs="Times New Roman"/>
              </w:rPr>
            </w:pPr>
            <w:r w:rsidRPr="00584929">
              <w:rPr>
                <w:rFonts w:ascii="Times New Roman" w:hAnsi="Times New Roman" w:cs="Times New Roman"/>
              </w:rPr>
              <w:t>Art. 4 ust. 1 pkt 3 lit. b i pkt 4</w:t>
            </w:r>
          </w:p>
        </w:tc>
        <w:tc>
          <w:tcPr>
            <w:tcW w:w="5323" w:type="dxa"/>
            <w:shd w:val="clear" w:color="auto" w:fill="auto"/>
          </w:tcPr>
          <w:p w14:paraId="32D13A03" w14:textId="08CE4B14" w:rsidR="00FA0CB8" w:rsidRPr="00584929" w:rsidRDefault="00FA0CB8" w:rsidP="009819FF">
            <w:pPr>
              <w:jc w:val="both"/>
              <w:rPr>
                <w:rFonts w:ascii="Times New Roman" w:hAnsi="Times New Roman" w:cs="Times New Roman"/>
              </w:rPr>
            </w:pPr>
            <w:r w:rsidRPr="00584929">
              <w:rPr>
                <w:rFonts w:ascii="Times New Roman" w:hAnsi="Times New Roman" w:cs="Times New Roman"/>
              </w:rPr>
              <w:t>W zakresie art. 4 projektu ustawy określającego w sposób podmiotowy i przedmiotowy katalog wyłączeń od stosowania przepisów ustawy – wątpliwości budzi sposób sformułowania tego wyłączenia gdyż wprowadzenie do wyliczenia sugeruje, że wyłączenie będzie miało charakter jedynie podmiotowy, podczas gdy przepis zawiera wyjątki od stosowania wyłączeń</w:t>
            </w:r>
            <w:r w:rsidR="004F6622" w:rsidRPr="00584929">
              <w:rPr>
                <w:rFonts w:ascii="Times New Roman" w:hAnsi="Times New Roman" w:cs="Times New Roman"/>
              </w:rPr>
              <w:t xml:space="preserve"> od charakterze przedmiotowym i </w:t>
            </w:r>
            <w:r w:rsidRPr="00584929">
              <w:rPr>
                <w:rFonts w:ascii="Times New Roman" w:hAnsi="Times New Roman" w:cs="Times New Roman"/>
              </w:rPr>
              <w:t>podmiotowym. Należy zatem zasugerować przykładowo: wyodrębnienie wskazanych w tym przepisie wyjątków podmiotowych i umieszczenie ich w katalogu podmiotów zobowiązanych z art. 3 ustawy celem zachowania spójności wewnętrznej tego aktu. Ponadto z uwagi na to, że zarówno art. 4 pkt 3 lit. b jak i art. 4 pkt 4 dotyczą bibliotek naukowych, należy zasugerować połącznie tych przepisów i przyjęcie w brzmienia odwołującego się wykazu tych bibliotek umieszczonego w przepisach wydanych na podstawie art. 21 ust. 4 ustawy z dnia 27 czerwca 1997 r. o bibliotekach. Przepis mógłby przyjąć brzmienie „biblio</w:t>
            </w:r>
            <w:r w:rsidR="004F6622" w:rsidRPr="00584929">
              <w:rPr>
                <w:rFonts w:ascii="Times New Roman" w:hAnsi="Times New Roman" w:cs="Times New Roman"/>
              </w:rPr>
              <w:t>tek naukowych, o których mowa w </w:t>
            </w:r>
            <w:r w:rsidRPr="00584929">
              <w:rPr>
                <w:rFonts w:ascii="Times New Roman" w:hAnsi="Times New Roman" w:cs="Times New Roman"/>
              </w:rPr>
              <w:t xml:space="preserve">przepisach wydanych na podstawie art. 21 ust. 4 ustawy </w:t>
            </w:r>
            <w:r w:rsidRPr="00584929">
              <w:rPr>
                <w:rFonts w:ascii="Times New Roman" w:hAnsi="Times New Roman" w:cs="Times New Roman"/>
              </w:rPr>
              <w:lastRenderedPageBreak/>
              <w:t>z dnia 27 czerwca 1997 r. o bibliotekach, których organizatorem są …”, przy czym wyjaśnienia wymaga zakres pojęcia „jednostki sektora publicznego” użytego w art. 4 ust. 1 pkt 4 do opisu podmiotu będącego organizatorem takiej biblioteki i potwierdzenie a</w:t>
            </w:r>
            <w:r w:rsidR="00C02828" w:rsidRPr="00584929">
              <w:rPr>
                <w:rFonts w:ascii="Times New Roman" w:hAnsi="Times New Roman" w:cs="Times New Roman"/>
              </w:rPr>
              <w:t xml:space="preserve">dekwatności jego zastosowania. </w:t>
            </w:r>
          </w:p>
        </w:tc>
        <w:tc>
          <w:tcPr>
            <w:tcW w:w="4785" w:type="dxa"/>
            <w:shd w:val="clear" w:color="auto" w:fill="auto"/>
          </w:tcPr>
          <w:p w14:paraId="6AACA3AA" w14:textId="72DFD5EB" w:rsidR="00FA0CB8" w:rsidRPr="00584929" w:rsidRDefault="004F6622" w:rsidP="004A29FC">
            <w:pPr>
              <w:rPr>
                <w:rFonts w:ascii="Times New Roman" w:hAnsi="Times New Roman" w:cs="Times New Roman"/>
                <w:b/>
              </w:rPr>
            </w:pPr>
            <w:r w:rsidRPr="00584929">
              <w:rPr>
                <w:rFonts w:ascii="Times New Roman" w:hAnsi="Times New Roman" w:cs="Times New Roman"/>
                <w:b/>
              </w:rPr>
              <w:lastRenderedPageBreak/>
              <w:t xml:space="preserve">Uwaga uwzględniona częściowo </w:t>
            </w:r>
          </w:p>
          <w:p w14:paraId="59DA10C9" w14:textId="77777777" w:rsidR="004F6622" w:rsidRPr="00584929" w:rsidRDefault="004F6622" w:rsidP="004F6622">
            <w:pPr>
              <w:rPr>
                <w:rFonts w:ascii="Times New Roman" w:hAnsi="Times New Roman" w:cs="Times New Roman"/>
              </w:rPr>
            </w:pPr>
            <w:r w:rsidRPr="00584929">
              <w:rPr>
                <w:rFonts w:ascii="Times New Roman" w:hAnsi="Times New Roman" w:cs="Times New Roman"/>
              </w:rPr>
              <w:t>1. Art. 4 ust. 1 pkt 4.</w:t>
            </w:r>
          </w:p>
          <w:p w14:paraId="1032A75D" w14:textId="77777777" w:rsidR="00FA0CB8" w:rsidRPr="00584929" w:rsidRDefault="004F6622" w:rsidP="004F6622">
            <w:pPr>
              <w:jc w:val="both"/>
              <w:rPr>
                <w:rFonts w:ascii="Times New Roman" w:hAnsi="Times New Roman" w:cs="Times New Roman"/>
              </w:rPr>
            </w:pPr>
            <w:r w:rsidRPr="00584929">
              <w:rPr>
                <w:rFonts w:ascii="Times New Roman" w:hAnsi="Times New Roman" w:cs="Times New Roman"/>
              </w:rPr>
              <w:t>Art. 4 ust. 1 pkt 4 projektu zostanie zmieniony poprzez zastąpienie pojęcia „jednostki sektora publicznego” wyrażeniem „podmioty zobowiązane o których mowa w art. 3 pkt 1-4”. Dodatkowo przepis zostanie uzupełniony o sprecyzowanie, że biblioteki naukowe, o których mowa tym przepisie to biblioteki naukowe w rozumieniu przepisów ustawy z dnia 27 czerwca 1997 r. o bibliotekach.</w:t>
            </w:r>
          </w:p>
          <w:p w14:paraId="13D5DEA1" w14:textId="77777777" w:rsidR="00524E1C" w:rsidRPr="00584929" w:rsidRDefault="00524E1C" w:rsidP="004F6622">
            <w:pPr>
              <w:jc w:val="both"/>
              <w:rPr>
                <w:rFonts w:ascii="Times New Roman" w:hAnsi="Times New Roman" w:cs="Times New Roman"/>
              </w:rPr>
            </w:pPr>
          </w:p>
          <w:p w14:paraId="4A467BDE" w14:textId="77777777" w:rsidR="004F6622" w:rsidRPr="00584929" w:rsidRDefault="004F6622" w:rsidP="004F6622">
            <w:pPr>
              <w:jc w:val="both"/>
              <w:rPr>
                <w:rFonts w:ascii="Times New Roman" w:hAnsi="Times New Roman" w:cs="Times New Roman"/>
                <w:lang w:val="en-GB"/>
              </w:rPr>
            </w:pPr>
            <w:r w:rsidRPr="00584929">
              <w:rPr>
                <w:rFonts w:ascii="Times New Roman" w:hAnsi="Times New Roman" w:cs="Times New Roman"/>
                <w:lang w:val="en-GB"/>
              </w:rPr>
              <w:t>2. Art. 4 ust. 1 pkt 3 lit. b.</w:t>
            </w:r>
          </w:p>
          <w:p w14:paraId="0D0ADAD4" w14:textId="44E4AB0C" w:rsidR="004F6622" w:rsidRPr="00584929" w:rsidRDefault="004F6622" w:rsidP="004F6622">
            <w:pPr>
              <w:jc w:val="both"/>
              <w:rPr>
                <w:rFonts w:ascii="Times New Roman" w:hAnsi="Times New Roman" w:cs="Times New Roman"/>
              </w:rPr>
            </w:pPr>
            <w:r w:rsidRPr="00584929">
              <w:rPr>
                <w:rFonts w:ascii="Times New Roman" w:hAnsi="Times New Roman" w:cs="Times New Roman"/>
              </w:rPr>
              <w:t>Projektowane przepisy w omawianym zakresie są co do zasady tożsame z obecnie obowiązującymi (ustawa z 2016 r.). Zgodnie z art. 4 ust. 1 pkt 3 lit. b (</w:t>
            </w:r>
            <w:r w:rsidR="00881AF4" w:rsidRPr="00584929">
              <w:rPr>
                <w:rFonts w:ascii="Times New Roman" w:hAnsi="Times New Roman" w:cs="Times New Roman"/>
              </w:rPr>
              <w:t>w wersji projektu po konferencji uzgodnieniowej – art. 4 ust. 1 pkt 3 lit. a)</w:t>
            </w:r>
            <w:r w:rsidRPr="00584929">
              <w:rPr>
                <w:rFonts w:ascii="Times New Roman" w:hAnsi="Times New Roman" w:cs="Times New Roman"/>
              </w:rPr>
              <w:t xml:space="preserve"> oraz pkt 4 projektu:</w:t>
            </w:r>
          </w:p>
          <w:p w14:paraId="7479AF0F" w14:textId="77777777" w:rsidR="004F6622" w:rsidRPr="00584929" w:rsidRDefault="004F6622" w:rsidP="00A07FD4">
            <w:pPr>
              <w:pStyle w:val="Akapitzlist"/>
              <w:numPr>
                <w:ilvl w:val="0"/>
                <w:numId w:val="28"/>
              </w:numPr>
              <w:ind w:left="317" w:hanging="284"/>
              <w:jc w:val="both"/>
              <w:rPr>
                <w:sz w:val="22"/>
                <w:szCs w:val="22"/>
              </w:rPr>
            </w:pPr>
            <w:r w:rsidRPr="00584929">
              <w:rPr>
                <w:sz w:val="22"/>
                <w:szCs w:val="22"/>
              </w:rPr>
              <w:t>ustawę stosuje się do ISP będących w posiadaniu bibliotek naukowych w rozumieniu przepisów ustawy z dnia 27 czerwca 1997 r.,</w:t>
            </w:r>
          </w:p>
          <w:p w14:paraId="7B3DCD8E" w14:textId="77777777" w:rsidR="004F6622" w:rsidRPr="00584929" w:rsidRDefault="004F6622" w:rsidP="00A07FD4">
            <w:pPr>
              <w:pStyle w:val="Akapitzlist"/>
              <w:numPr>
                <w:ilvl w:val="0"/>
                <w:numId w:val="28"/>
              </w:numPr>
              <w:ind w:left="317" w:hanging="284"/>
              <w:jc w:val="both"/>
              <w:rPr>
                <w:sz w:val="22"/>
                <w:szCs w:val="22"/>
              </w:rPr>
            </w:pPr>
            <w:r w:rsidRPr="00584929">
              <w:rPr>
                <w:sz w:val="22"/>
                <w:szCs w:val="22"/>
              </w:rPr>
              <w:lastRenderedPageBreak/>
              <w:t>ustawy nie stosuje się do ISP będących w posiadaniu bibliotek naukowych w rozumieniu przepisów ustawy z dnia 27 czerwca 1997 r, których organizatorami nie są podmioty zobowiązane, o których mowa w art. 3 pkt 1-4.</w:t>
            </w:r>
          </w:p>
          <w:p w14:paraId="0D03AB36" w14:textId="77777777" w:rsidR="004F6622" w:rsidRPr="00584929" w:rsidRDefault="004F6622" w:rsidP="004F6622">
            <w:pPr>
              <w:jc w:val="both"/>
              <w:rPr>
                <w:rFonts w:ascii="Times New Roman" w:hAnsi="Times New Roman" w:cs="Times New Roman"/>
              </w:rPr>
            </w:pPr>
            <w:r w:rsidRPr="00584929">
              <w:rPr>
                <w:rFonts w:ascii="Times New Roman" w:hAnsi="Times New Roman" w:cs="Times New Roman"/>
              </w:rPr>
              <w:t>Zgodnie z art. 21 ust. 2 ustawy z dnia 27 czerwca 1997 r.  o bibliotekach (Dz. U. z 2019 r. poz. 1479) do bibliotek naukowych należą:</w:t>
            </w:r>
          </w:p>
          <w:p w14:paraId="60CBFC60" w14:textId="77777777" w:rsidR="004F6622" w:rsidRPr="00584929" w:rsidRDefault="004F6622" w:rsidP="00A07FD4">
            <w:pPr>
              <w:pStyle w:val="Akapitzlist"/>
              <w:numPr>
                <w:ilvl w:val="0"/>
                <w:numId w:val="34"/>
              </w:numPr>
              <w:ind w:left="317" w:hanging="284"/>
              <w:jc w:val="both"/>
              <w:rPr>
                <w:sz w:val="22"/>
                <w:szCs w:val="22"/>
              </w:rPr>
            </w:pPr>
            <w:r w:rsidRPr="00584929">
              <w:rPr>
                <w:sz w:val="22"/>
                <w:szCs w:val="22"/>
              </w:rPr>
              <w:t>Biblioteka Narodowa;</w:t>
            </w:r>
          </w:p>
          <w:p w14:paraId="0C9DCCD7" w14:textId="77777777" w:rsidR="004F6622" w:rsidRPr="00584929" w:rsidRDefault="004F6622" w:rsidP="00A07FD4">
            <w:pPr>
              <w:pStyle w:val="Akapitzlist"/>
              <w:numPr>
                <w:ilvl w:val="0"/>
                <w:numId w:val="34"/>
              </w:numPr>
              <w:ind w:left="317" w:hanging="284"/>
              <w:jc w:val="both"/>
              <w:rPr>
                <w:sz w:val="22"/>
                <w:szCs w:val="22"/>
              </w:rPr>
            </w:pPr>
            <w:r w:rsidRPr="00584929">
              <w:rPr>
                <w:sz w:val="22"/>
                <w:szCs w:val="22"/>
              </w:rPr>
              <w:t>biblioteki, których organizatorami są szkoły wyższe;</w:t>
            </w:r>
          </w:p>
          <w:p w14:paraId="1CC7FF0B" w14:textId="77777777" w:rsidR="004F6622" w:rsidRPr="00584929" w:rsidRDefault="004F6622" w:rsidP="00A07FD4">
            <w:pPr>
              <w:pStyle w:val="Akapitzlist"/>
              <w:numPr>
                <w:ilvl w:val="0"/>
                <w:numId w:val="34"/>
              </w:numPr>
              <w:ind w:left="317" w:hanging="284"/>
              <w:jc w:val="both"/>
              <w:rPr>
                <w:sz w:val="22"/>
                <w:szCs w:val="22"/>
              </w:rPr>
            </w:pPr>
            <w:r w:rsidRPr="00584929">
              <w:rPr>
                <w:sz w:val="22"/>
                <w:szCs w:val="22"/>
              </w:rPr>
              <w:t>biblioteki, których organizatorem jest Polska Akademia Nauk;</w:t>
            </w:r>
          </w:p>
          <w:p w14:paraId="195EDE5D" w14:textId="77777777" w:rsidR="00881AF4" w:rsidRPr="00584929" w:rsidRDefault="004F6622" w:rsidP="00A07FD4">
            <w:pPr>
              <w:pStyle w:val="Akapitzlist"/>
              <w:numPr>
                <w:ilvl w:val="0"/>
                <w:numId w:val="34"/>
              </w:numPr>
              <w:ind w:left="317" w:hanging="284"/>
              <w:jc w:val="both"/>
              <w:rPr>
                <w:sz w:val="22"/>
                <w:szCs w:val="22"/>
              </w:rPr>
            </w:pPr>
            <w:r w:rsidRPr="00584929">
              <w:rPr>
                <w:sz w:val="22"/>
                <w:szCs w:val="22"/>
              </w:rPr>
              <w:t>biblioteki, których organizatorami są jednostki badawczo-rozwojowe;</w:t>
            </w:r>
          </w:p>
          <w:p w14:paraId="124B5A54" w14:textId="67854CB5" w:rsidR="004F6622" w:rsidRPr="00584929" w:rsidRDefault="004F6622" w:rsidP="00A07FD4">
            <w:pPr>
              <w:pStyle w:val="Akapitzlist"/>
              <w:numPr>
                <w:ilvl w:val="0"/>
                <w:numId w:val="34"/>
              </w:numPr>
              <w:ind w:left="459" w:hanging="426"/>
              <w:jc w:val="both"/>
              <w:rPr>
                <w:sz w:val="22"/>
                <w:szCs w:val="22"/>
              </w:rPr>
            </w:pPr>
            <w:r w:rsidRPr="00584929">
              <w:rPr>
                <w:sz w:val="22"/>
                <w:szCs w:val="22"/>
              </w:rPr>
              <w:t>inne biblioteki.</w:t>
            </w:r>
          </w:p>
          <w:p w14:paraId="6FD51264" w14:textId="6E50CE03" w:rsidR="004F6622" w:rsidRPr="00584929" w:rsidRDefault="004F6622" w:rsidP="004F6622">
            <w:pPr>
              <w:ind w:left="33"/>
              <w:jc w:val="both"/>
              <w:rPr>
                <w:rFonts w:ascii="Times New Roman" w:hAnsi="Times New Roman" w:cs="Times New Roman"/>
              </w:rPr>
            </w:pPr>
            <w:r w:rsidRPr="00584929">
              <w:rPr>
                <w:rFonts w:ascii="Times New Roman" w:hAnsi="Times New Roman" w:cs="Times New Roman"/>
              </w:rPr>
              <w:t>W opinii projektodawcy proponowana zmiana art. 4 ust. 1 pkt 3</w:t>
            </w:r>
            <w:r w:rsidR="009D2955" w:rsidRPr="00584929">
              <w:rPr>
                <w:rFonts w:ascii="Times New Roman" w:hAnsi="Times New Roman" w:cs="Times New Roman"/>
              </w:rPr>
              <w:t xml:space="preserve"> lit. b projektu</w:t>
            </w:r>
            <w:r w:rsidRPr="00584929">
              <w:rPr>
                <w:rFonts w:ascii="Times New Roman" w:hAnsi="Times New Roman" w:cs="Times New Roman"/>
              </w:rPr>
              <w:t xml:space="preserve"> polegająca na ograniczeniu wyjątku dotyczącego bibliotek naukowych tylko do podmiotów wymienionych w art. 21 ust. 2 pkt 1–4 ustawy o bibliotekach (z</w:t>
            </w:r>
            <w:r w:rsidR="009D2955" w:rsidRPr="00584929">
              <w:rPr>
                <w:rFonts w:ascii="Times New Roman" w:hAnsi="Times New Roman" w:cs="Times New Roman"/>
              </w:rPr>
              <w:t> </w:t>
            </w:r>
            <w:r w:rsidRPr="00584929">
              <w:rPr>
                <w:rFonts w:ascii="Times New Roman" w:hAnsi="Times New Roman" w:cs="Times New Roman"/>
              </w:rPr>
              <w:t>pominięciem pkt 5 w art. 21 ust. 2 tej ustawy) ograniczyłoby krąg bibliotek naukowych, które na zasadzie wyjątku od generalnego wyłączenie podmiotów wchodzących w skład systemu szkolnictwa wyższego i nauki, podlegałby przepisom ustawy. Zgodnie z wykazem bibliotek zaliczanych do bibliotek naukowych stanowiącym załącznik do ro</w:t>
            </w:r>
            <w:r w:rsidR="009D2955" w:rsidRPr="00584929">
              <w:rPr>
                <w:rFonts w:ascii="Times New Roman" w:hAnsi="Times New Roman" w:cs="Times New Roman"/>
              </w:rPr>
              <w:t>zporządzenia Ministra Kultury i </w:t>
            </w:r>
            <w:r w:rsidRPr="00584929">
              <w:rPr>
                <w:rFonts w:ascii="Times New Roman" w:hAnsi="Times New Roman" w:cs="Times New Roman"/>
              </w:rPr>
              <w:t>Dziedzictwa Na</w:t>
            </w:r>
            <w:r w:rsidR="009D2955" w:rsidRPr="00584929">
              <w:rPr>
                <w:rFonts w:ascii="Times New Roman" w:hAnsi="Times New Roman" w:cs="Times New Roman"/>
              </w:rPr>
              <w:t>rodowego z dnia 2 kwietnia 2012 </w:t>
            </w:r>
            <w:r w:rsidRPr="00584929">
              <w:rPr>
                <w:rFonts w:ascii="Times New Roman" w:hAnsi="Times New Roman" w:cs="Times New Roman"/>
              </w:rPr>
              <w:t>r. w sprawie sposobu i trybu zaliczania bibliotek do niektórych bibliotek naukowych oraz ustalenia ich wykazu (Dz. U. z 2016 r. poz. 137</w:t>
            </w:r>
            <w:r w:rsidR="009D2955" w:rsidRPr="00584929">
              <w:rPr>
                <w:rFonts w:ascii="Times New Roman" w:hAnsi="Times New Roman" w:cs="Times New Roman"/>
              </w:rPr>
              <w:t>, z </w:t>
            </w:r>
            <w:r w:rsidRPr="00584929">
              <w:rPr>
                <w:rFonts w:ascii="Times New Roman" w:hAnsi="Times New Roman" w:cs="Times New Roman"/>
              </w:rPr>
              <w:t xml:space="preserve">późn. zm.) do bibliotek zaliczonych do bibliotek </w:t>
            </w:r>
            <w:r w:rsidRPr="00584929">
              <w:rPr>
                <w:rFonts w:ascii="Times New Roman" w:hAnsi="Times New Roman" w:cs="Times New Roman"/>
              </w:rPr>
              <w:lastRenderedPageBreak/>
              <w:t>naukowych zalicza się obecnie 33 biblioteki, w tym również podmioty, które zaliczyć należy do „innych bibliotek”, o których mowa w art. 21 ust. 2 pkt 5 ustawy o bibliotekach, np. Biblioteka Sejmowa.</w:t>
            </w:r>
          </w:p>
          <w:p w14:paraId="5C2F8A47" w14:textId="77777777" w:rsidR="004F6622" w:rsidRPr="00584929" w:rsidRDefault="004F6622" w:rsidP="004F6622">
            <w:pPr>
              <w:jc w:val="both"/>
              <w:rPr>
                <w:rFonts w:ascii="Times New Roman" w:hAnsi="Times New Roman" w:cs="Times New Roman"/>
              </w:rPr>
            </w:pPr>
            <w:r w:rsidRPr="00584929">
              <w:rPr>
                <w:rFonts w:ascii="Times New Roman" w:hAnsi="Times New Roman" w:cs="Times New Roman"/>
              </w:rPr>
              <w:t>Jednocześnie konieczne jest pozostawienie wyłączenia, o którym mowa w art. 4 ust. 1 pkt 4 projektu, zgodnie z którym ustawy nie stosuje się do bibliotek naukowych, których organizatorami nie są</w:t>
            </w:r>
          </w:p>
          <w:p w14:paraId="25F83C62" w14:textId="77777777" w:rsidR="004F6622" w:rsidRPr="00584929" w:rsidRDefault="004F6622" w:rsidP="004F6622">
            <w:pPr>
              <w:jc w:val="both"/>
              <w:rPr>
                <w:rFonts w:ascii="Times New Roman" w:hAnsi="Times New Roman" w:cs="Times New Roman"/>
              </w:rPr>
            </w:pPr>
            <w:r w:rsidRPr="00584929">
              <w:rPr>
                <w:rFonts w:ascii="Times New Roman" w:hAnsi="Times New Roman" w:cs="Times New Roman"/>
              </w:rPr>
              <w:t>podmioty zobowiązane, o których mowa w art. 3 pkt 1-4. Do bibliotek naukowych w rozumieniu art. 21 ust. 2 ustawy o bibliotekach mogą zaliczać się podmioty, których organizatorami nie będą podmioty zobowiązane, np. Polskie Centrum Informacji Muzycznej POLMIC/Biblioteka - Fonoteka Związku Kompozytorów Polskich.</w:t>
            </w:r>
          </w:p>
          <w:p w14:paraId="0ECA8043" w14:textId="77777777" w:rsidR="00524E1C" w:rsidRPr="00584929" w:rsidRDefault="00524E1C" w:rsidP="004F6622">
            <w:pPr>
              <w:jc w:val="both"/>
              <w:rPr>
                <w:rFonts w:ascii="Times New Roman" w:hAnsi="Times New Roman" w:cs="Times New Roman"/>
              </w:rPr>
            </w:pPr>
          </w:p>
          <w:p w14:paraId="48B2B17A" w14:textId="0D00CBDD" w:rsidR="004F6622" w:rsidRPr="00584929" w:rsidRDefault="004F6622" w:rsidP="004F6622">
            <w:pPr>
              <w:jc w:val="both"/>
              <w:rPr>
                <w:rFonts w:ascii="Times New Roman" w:hAnsi="Times New Roman" w:cs="Times New Roman"/>
              </w:rPr>
            </w:pPr>
            <w:r w:rsidRPr="00584929">
              <w:rPr>
                <w:rFonts w:ascii="Times New Roman" w:hAnsi="Times New Roman" w:cs="Times New Roman"/>
              </w:rPr>
              <w:t>3. Uwaga dot. wyodrębnienia wyjątków podmiotowych z art. 4 i umieszczenia ich w art. 3</w:t>
            </w:r>
            <w:r w:rsidR="00FE7115" w:rsidRPr="00584929">
              <w:rPr>
                <w:rFonts w:ascii="Times New Roman" w:hAnsi="Times New Roman" w:cs="Times New Roman"/>
              </w:rPr>
              <w:t>.</w:t>
            </w:r>
            <w:r w:rsidRPr="00584929">
              <w:rPr>
                <w:rFonts w:ascii="Times New Roman" w:hAnsi="Times New Roman" w:cs="Times New Roman"/>
              </w:rPr>
              <w:t xml:space="preserve"> </w:t>
            </w:r>
          </w:p>
          <w:p w14:paraId="1FAB5557" w14:textId="584183A5" w:rsidR="004F6622" w:rsidRPr="00584929" w:rsidRDefault="00A938BC" w:rsidP="00881AF4">
            <w:pPr>
              <w:jc w:val="both"/>
              <w:rPr>
                <w:rFonts w:ascii="Times New Roman" w:hAnsi="Times New Roman" w:cs="Times New Roman"/>
              </w:rPr>
            </w:pPr>
            <w:r w:rsidRPr="00584929">
              <w:rPr>
                <w:rFonts w:ascii="Times New Roman" w:hAnsi="Times New Roman" w:cs="Times New Roman"/>
              </w:rPr>
              <w:t xml:space="preserve">Uwaga wyjaśniona. </w:t>
            </w:r>
            <w:r w:rsidR="004F6622" w:rsidRPr="00584929">
              <w:rPr>
                <w:rFonts w:ascii="Times New Roman" w:hAnsi="Times New Roman" w:cs="Times New Roman"/>
              </w:rPr>
              <w:t xml:space="preserve">Projektodawca </w:t>
            </w:r>
            <w:r w:rsidRPr="00584929">
              <w:rPr>
                <w:rFonts w:ascii="Times New Roman" w:hAnsi="Times New Roman" w:cs="Times New Roman"/>
              </w:rPr>
              <w:t xml:space="preserve">proponuje </w:t>
            </w:r>
            <w:r w:rsidR="00881AF4" w:rsidRPr="00584929">
              <w:rPr>
                <w:rFonts w:ascii="Times New Roman" w:hAnsi="Times New Roman" w:cs="Times New Roman"/>
              </w:rPr>
              <w:t xml:space="preserve">pozostawienie </w:t>
            </w:r>
            <w:r w:rsidR="00FE7115" w:rsidRPr="00584929">
              <w:rPr>
                <w:rFonts w:ascii="Times New Roman" w:hAnsi="Times New Roman" w:cs="Times New Roman"/>
              </w:rPr>
              <w:t>w art. 3 katalogu podmiotów zobowiązanych, a w art. 4 wskazania wszystkich wyłączeń (podmiotowych i przedmiotowych)</w:t>
            </w:r>
            <w:r w:rsidRPr="00584929">
              <w:rPr>
                <w:rFonts w:ascii="Times New Roman" w:hAnsi="Times New Roman" w:cs="Times New Roman"/>
              </w:rPr>
              <w:t>. Przepis zostani</w:t>
            </w:r>
            <w:r w:rsidR="00FA5F12" w:rsidRPr="00584929">
              <w:rPr>
                <w:rFonts w:ascii="Times New Roman" w:hAnsi="Times New Roman" w:cs="Times New Roman"/>
              </w:rPr>
              <w:t>e poddany dodatkowej analizie w </w:t>
            </w:r>
            <w:r w:rsidRPr="00584929">
              <w:rPr>
                <w:rFonts w:ascii="Times New Roman" w:hAnsi="Times New Roman" w:cs="Times New Roman"/>
              </w:rPr>
              <w:t>ramach rozpatrzenia projektu ustawy przez Komisję prawniczą</w:t>
            </w:r>
            <w:r w:rsidR="00FE7115" w:rsidRPr="00584929">
              <w:rPr>
                <w:rFonts w:ascii="Times New Roman" w:hAnsi="Times New Roman" w:cs="Times New Roman"/>
              </w:rPr>
              <w:t>.</w:t>
            </w:r>
            <w:r w:rsidRPr="00584929">
              <w:rPr>
                <w:rFonts w:ascii="Times New Roman" w:hAnsi="Times New Roman" w:cs="Times New Roman"/>
              </w:rPr>
              <w:t xml:space="preserve"> </w:t>
            </w:r>
          </w:p>
        </w:tc>
      </w:tr>
      <w:tr w:rsidR="00893992" w:rsidRPr="00584929" w14:paraId="6FE6CBD3" w14:textId="77777777" w:rsidTr="00D94ED7">
        <w:tc>
          <w:tcPr>
            <w:tcW w:w="676" w:type="dxa"/>
            <w:shd w:val="clear" w:color="auto" w:fill="auto"/>
          </w:tcPr>
          <w:p w14:paraId="7280B4AC" w14:textId="77777777" w:rsidR="00893992" w:rsidRPr="00584929" w:rsidRDefault="00893992" w:rsidP="004A29FC">
            <w:pPr>
              <w:pStyle w:val="Akapitzlist"/>
              <w:numPr>
                <w:ilvl w:val="0"/>
                <w:numId w:val="20"/>
              </w:numPr>
              <w:rPr>
                <w:sz w:val="22"/>
                <w:szCs w:val="22"/>
              </w:rPr>
            </w:pPr>
          </w:p>
        </w:tc>
        <w:tc>
          <w:tcPr>
            <w:tcW w:w="1968" w:type="dxa"/>
            <w:shd w:val="clear" w:color="auto" w:fill="auto"/>
          </w:tcPr>
          <w:p w14:paraId="4EA031E1" w14:textId="17515B04" w:rsidR="00893992" w:rsidRPr="00584929" w:rsidRDefault="00E31B4B"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08F2EAEB" w14:textId="77777777" w:rsidR="00E31B4B" w:rsidRPr="00584929" w:rsidRDefault="00E31B4B" w:rsidP="004A29FC">
            <w:pPr>
              <w:rPr>
                <w:rFonts w:ascii="Times New Roman" w:hAnsi="Times New Roman" w:cs="Times New Roman"/>
              </w:rPr>
            </w:pPr>
            <w:r w:rsidRPr="00584929">
              <w:rPr>
                <w:rFonts w:ascii="Times New Roman" w:hAnsi="Times New Roman" w:cs="Times New Roman"/>
              </w:rPr>
              <w:t>Art. 4 ust. 1 pkt 5</w:t>
            </w:r>
          </w:p>
          <w:p w14:paraId="72A66744" w14:textId="77777777" w:rsidR="00893992" w:rsidRPr="00584929" w:rsidRDefault="00893992" w:rsidP="004A29FC">
            <w:pPr>
              <w:rPr>
                <w:rFonts w:ascii="Times New Roman" w:hAnsi="Times New Roman" w:cs="Times New Roman"/>
              </w:rPr>
            </w:pPr>
          </w:p>
        </w:tc>
        <w:tc>
          <w:tcPr>
            <w:tcW w:w="5323" w:type="dxa"/>
            <w:shd w:val="clear" w:color="auto" w:fill="auto"/>
          </w:tcPr>
          <w:p w14:paraId="74D4966F" w14:textId="3B3BFC1D" w:rsidR="00893992" w:rsidRPr="00584929" w:rsidRDefault="00E31B4B" w:rsidP="009819FF">
            <w:pPr>
              <w:jc w:val="both"/>
              <w:rPr>
                <w:rFonts w:ascii="Times New Roman" w:hAnsi="Times New Roman" w:cs="Times New Roman"/>
              </w:rPr>
            </w:pPr>
            <w:r w:rsidRPr="00584929">
              <w:rPr>
                <w:rFonts w:ascii="Times New Roman" w:hAnsi="Times New Roman" w:cs="Times New Roman"/>
              </w:rPr>
              <w:t>Zgodnie z art. 4 ust. 1 pkt 5 projektu przepisów ustawy nie stosuje się do informacji</w:t>
            </w:r>
            <w:r w:rsidR="00FE7115" w:rsidRPr="00584929">
              <w:rPr>
                <w:rFonts w:ascii="Times New Roman" w:hAnsi="Times New Roman" w:cs="Times New Roman"/>
              </w:rPr>
              <w:t xml:space="preserve"> sektora publicznego będących w </w:t>
            </w:r>
            <w:r w:rsidRPr="00584929">
              <w:rPr>
                <w:rFonts w:ascii="Times New Roman" w:hAnsi="Times New Roman" w:cs="Times New Roman"/>
              </w:rPr>
              <w:t>posiadaniu podmiotów, o których mowa w art. 2 ustawy z dnia 14 grudnia 2016</w:t>
            </w:r>
            <w:r w:rsidR="00FE7115" w:rsidRPr="00584929">
              <w:rPr>
                <w:rFonts w:ascii="Times New Roman" w:hAnsi="Times New Roman" w:cs="Times New Roman"/>
              </w:rPr>
              <w:t xml:space="preserve"> r. – Prawo oświatowe (Dz. U. z </w:t>
            </w:r>
            <w:r w:rsidRPr="00584929">
              <w:rPr>
                <w:rFonts w:ascii="Times New Roman" w:hAnsi="Times New Roman" w:cs="Times New Roman"/>
              </w:rPr>
              <w:t>2020 r. poz. 910 i 1378). Wskazany przepis będzie miał zastosowanie do szkół funkcjonuj</w:t>
            </w:r>
            <w:r w:rsidR="009819FF" w:rsidRPr="00584929">
              <w:rPr>
                <w:rFonts w:ascii="Times New Roman" w:hAnsi="Times New Roman" w:cs="Times New Roman"/>
              </w:rPr>
              <w:t>ących w zakładach poprawczych i </w:t>
            </w:r>
            <w:r w:rsidRPr="00584929">
              <w:rPr>
                <w:rFonts w:ascii="Times New Roman" w:hAnsi="Times New Roman" w:cs="Times New Roman"/>
              </w:rPr>
              <w:t>schroniskach dla nieletnich, które zgodnie z art. 2 ww. ustawy obejmuje system oświaty. W tym miejscu należy zwrócić uwagę, że zg</w:t>
            </w:r>
            <w:r w:rsidR="00A57AB5" w:rsidRPr="00584929">
              <w:rPr>
                <w:rFonts w:ascii="Times New Roman" w:hAnsi="Times New Roman" w:cs="Times New Roman"/>
              </w:rPr>
              <w:t xml:space="preserve">odnie § 15 ust. 1 pkt 2 i § 32 </w:t>
            </w:r>
            <w:r w:rsidRPr="00584929">
              <w:rPr>
                <w:rFonts w:ascii="Times New Roman" w:hAnsi="Times New Roman" w:cs="Times New Roman"/>
              </w:rPr>
              <w:t>pkt 2 rozporządz</w:t>
            </w:r>
            <w:r w:rsidR="002829E3" w:rsidRPr="00584929">
              <w:rPr>
                <w:rFonts w:ascii="Times New Roman" w:hAnsi="Times New Roman" w:cs="Times New Roman"/>
              </w:rPr>
              <w:t xml:space="preserve">enia Ministra Sprawiedliwości </w:t>
            </w:r>
            <w:r w:rsidR="002829E3" w:rsidRPr="00584929">
              <w:rPr>
                <w:rFonts w:ascii="Times New Roman" w:hAnsi="Times New Roman" w:cs="Times New Roman"/>
              </w:rPr>
              <w:lastRenderedPageBreak/>
              <w:t>z </w:t>
            </w:r>
            <w:r w:rsidRPr="00584929">
              <w:rPr>
                <w:rFonts w:ascii="Times New Roman" w:hAnsi="Times New Roman" w:cs="Times New Roman"/>
              </w:rPr>
              <w:t>dnia 17 października 2001 r. w sprawie zakładów poprawczych i schronisk dla nieletnich (Dz. U. z 2017 r. poz. 487) wskazane szkoły wchodzą odpowiednio w skład zakładu poprawczego l</w:t>
            </w:r>
            <w:r w:rsidR="00FE7115" w:rsidRPr="00584929">
              <w:rPr>
                <w:rFonts w:ascii="Times New Roman" w:hAnsi="Times New Roman" w:cs="Times New Roman"/>
              </w:rPr>
              <w:t>ub schroniska dla nieletnich. W </w:t>
            </w:r>
            <w:r w:rsidRPr="00584929">
              <w:rPr>
                <w:rFonts w:ascii="Times New Roman" w:hAnsi="Times New Roman" w:cs="Times New Roman"/>
              </w:rPr>
              <w:t xml:space="preserve">związku z powyższym proponuję rozszerzenie art. </w:t>
            </w:r>
            <w:r w:rsidR="009819FF" w:rsidRPr="00584929">
              <w:rPr>
                <w:rFonts w:ascii="Times New Roman" w:hAnsi="Times New Roman" w:cs="Times New Roman"/>
              </w:rPr>
              <w:t xml:space="preserve">4 ust. 5 </w:t>
            </w:r>
            <w:r w:rsidR="002829E3" w:rsidRPr="00584929">
              <w:rPr>
                <w:rFonts w:ascii="Times New Roman" w:hAnsi="Times New Roman" w:cs="Times New Roman"/>
              </w:rPr>
              <w:t xml:space="preserve">[art. 4 ust. 1 pkt 5] </w:t>
            </w:r>
            <w:r w:rsidR="009819FF" w:rsidRPr="00584929">
              <w:rPr>
                <w:rFonts w:ascii="Times New Roman" w:hAnsi="Times New Roman" w:cs="Times New Roman"/>
              </w:rPr>
              <w:t>projektowanej ustawy o </w:t>
            </w:r>
            <w:r w:rsidRPr="00584929">
              <w:rPr>
                <w:rFonts w:ascii="Times New Roman" w:hAnsi="Times New Roman" w:cs="Times New Roman"/>
              </w:rPr>
              <w:t xml:space="preserve">wskazanie, że jej przepisów nie stosuje się do jednostek, </w:t>
            </w:r>
            <w:r w:rsidR="00A57AB5" w:rsidRPr="00584929">
              <w:rPr>
                <w:rFonts w:ascii="Times New Roman" w:hAnsi="Times New Roman" w:cs="Times New Roman"/>
              </w:rPr>
              <w:t xml:space="preserve">o których mowa w art. 95 ustawy </w:t>
            </w:r>
            <w:r w:rsidRPr="00584929">
              <w:rPr>
                <w:rFonts w:ascii="Times New Roman" w:hAnsi="Times New Roman" w:cs="Times New Roman"/>
              </w:rPr>
              <w:t>z dnia 26 paździ</w:t>
            </w:r>
            <w:r w:rsidR="00FE7115" w:rsidRPr="00584929">
              <w:rPr>
                <w:rFonts w:ascii="Times New Roman" w:hAnsi="Times New Roman" w:cs="Times New Roman"/>
              </w:rPr>
              <w:t>ernika 1982 r. o postępowaniu w </w:t>
            </w:r>
            <w:r w:rsidRPr="00584929">
              <w:rPr>
                <w:rFonts w:ascii="Times New Roman" w:hAnsi="Times New Roman" w:cs="Times New Roman"/>
              </w:rPr>
              <w:t>sprawac</w:t>
            </w:r>
            <w:r w:rsidR="009819FF" w:rsidRPr="00584929">
              <w:rPr>
                <w:rFonts w:ascii="Times New Roman" w:hAnsi="Times New Roman" w:cs="Times New Roman"/>
              </w:rPr>
              <w:t>h nieletnich (Dz. U. z </w:t>
            </w:r>
            <w:r w:rsidR="00A57AB5" w:rsidRPr="00584929">
              <w:rPr>
                <w:rFonts w:ascii="Times New Roman" w:hAnsi="Times New Roman" w:cs="Times New Roman"/>
              </w:rPr>
              <w:t xml:space="preserve">2018 r. </w:t>
            </w:r>
            <w:r w:rsidR="00FE7115" w:rsidRPr="00584929">
              <w:rPr>
                <w:rFonts w:ascii="Times New Roman" w:hAnsi="Times New Roman" w:cs="Times New Roman"/>
              </w:rPr>
              <w:t>poz. 969), tj. </w:t>
            </w:r>
            <w:r w:rsidRPr="00584929">
              <w:rPr>
                <w:rFonts w:ascii="Times New Roman" w:hAnsi="Times New Roman" w:cs="Times New Roman"/>
              </w:rPr>
              <w:t>zakładów poprawcz</w:t>
            </w:r>
            <w:r w:rsidR="00C02828" w:rsidRPr="00584929">
              <w:rPr>
                <w:rFonts w:ascii="Times New Roman" w:hAnsi="Times New Roman" w:cs="Times New Roman"/>
              </w:rPr>
              <w:t>ych i schronisk dla nieletnich.</w:t>
            </w:r>
          </w:p>
        </w:tc>
        <w:tc>
          <w:tcPr>
            <w:tcW w:w="4785" w:type="dxa"/>
            <w:shd w:val="clear" w:color="auto" w:fill="auto"/>
          </w:tcPr>
          <w:p w14:paraId="768C7802" w14:textId="7BB88ACD" w:rsidR="00E31B4B" w:rsidRPr="00584929" w:rsidRDefault="00E31B4B" w:rsidP="004A29FC">
            <w:pPr>
              <w:rPr>
                <w:rFonts w:ascii="Times New Roman" w:hAnsi="Times New Roman" w:cs="Times New Roman"/>
                <w:b/>
              </w:rPr>
            </w:pPr>
            <w:r w:rsidRPr="00584929">
              <w:rPr>
                <w:rFonts w:ascii="Times New Roman" w:hAnsi="Times New Roman" w:cs="Times New Roman"/>
                <w:b/>
              </w:rPr>
              <w:lastRenderedPageBreak/>
              <w:t xml:space="preserve">Uwaga </w:t>
            </w:r>
            <w:r w:rsidR="00FE7115" w:rsidRPr="00584929">
              <w:rPr>
                <w:rFonts w:ascii="Times New Roman" w:hAnsi="Times New Roman" w:cs="Times New Roman"/>
                <w:b/>
              </w:rPr>
              <w:t xml:space="preserve">uwzględniona </w:t>
            </w:r>
            <w:r w:rsidRPr="00584929">
              <w:rPr>
                <w:rFonts w:ascii="Times New Roman" w:hAnsi="Times New Roman" w:cs="Times New Roman"/>
                <w:b/>
              </w:rPr>
              <w:t xml:space="preserve"> </w:t>
            </w:r>
          </w:p>
          <w:p w14:paraId="1A9C0E8C" w14:textId="4CFC79C5" w:rsidR="00893992" w:rsidRPr="00584929" w:rsidRDefault="002829E3" w:rsidP="002829E3">
            <w:pPr>
              <w:jc w:val="both"/>
              <w:rPr>
                <w:rFonts w:ascii="Times New Roman" w:hAnsi="Times New Roman" w:cs="Times New Roman"/>
              </w:rPr>
            </w:pPr>
            <w:r w:rsidRPr="00584929">
              <w:rPr>
                <w:rFonts w:ascii="Times New Roman" w:hAnsi="Times New Roman" w:cs="Times New Roman"/>
              </w:rPr>
              <w:t xml:space="preserve">Przepis zostanie zmieniony. </w:t>
            </w:r>
          </w:p>
        </w:tc>
      </w:tr>
      <w:tr w:rsidR="00893992" w:rsidRPr="00584929" w14:paraId="33008EBA" w14:textId="77777777" w:rsidTr="00D94ED7">
        <w:tc>
          <w:tcPr>
            <w:tcW w:w="676" w:type="dxa"/>
            <w:shd w:val="clear" w:color="auto" w:fill="auto"/>
          </w:tcPr>
          <w:p w14:paraId="42EFB2B3" w14:textId="77777777" w:rsidR="00893992" w:rsidRPr="00584929" w:rsidRDefault="00893992" w:rsidP="004A29FC">
            <w:pPr>
              <w:pStyle w:val="Akapitzlist"/>
              <w:numPr>
                <w:ilvl w:val="0"/>
                <w:numId w:val="20"/>
              </w:numPr>
              <w:rPr>
                <w:sz w:val="22"/>
                <w:szCs w:val="22"/>
              </w:rPr>
            </w:pPr>
          </w:p>
        </w:tc>
        <w:tc>
          <w:tcPr>
            <w:tcW w:w="1968" w:type="dxa"/>
            <w:shd w:val="clear" w:color="auto" w:fill="auto"/>
          </w:tcPr>
          <w:p w14:paraId="00A74E7B" w14:textId="5F6E4218" w:rsidR="00893992" w:rsidRPr="00584929" w:rsidRDefault="00E31B4B"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2D7A62CE" w14:textId="2F8D99D3" w:rsidR="00893992" w:rsidRPr="00584929" w:rsidRDefault="00E31B4B" w:rsidP="004A29FC">
            <w:pPr>
              <w:rPr>
                <w:rFonts w:ascii="Times New Roman" w:hAnsi="Times New Roman" w:cs="Times New Roman"/>
              </w:rPr>
            </w:pPr>
            <w:r w:rsidRPr="00584929">
              <w:rPr>
                <w:rFonts w:ascii="Times New Roman" w:hAnsi="Times New Roman" w:cs="Times New Roman"/>
              </w:rPr>
              <w:t>Art. 4 ust. 2</w:t>
            </w:r>
          </w:p>
        </w:tc>
        <w:tc>
          <w:tcPr>
            <w:tcW w:w="5323" w:type="dxa"/>
            <w:shd w:val="clear" w:color="auto" w:fill="auto"/>
          </w:tcPr>
          <w:p w14:paraId="4B2D536D" w14:textId="7CA225FA" w:rsidR="00893992" w:rsidRPr="00584929" w:rsidRDefault="00E31B4B" w:rsidP="009819FF">
            <w:pPr>
              <w:jc w:val="both"/>
              <w:rPr>
                <w:rFonts w:ascii="Times New Roman" w:hAnsi="Times New Roman" w:cs="Times New Roman"/>
              </w:rPr>
            </w:pPr>
            <w:r w:rsidRPr="00584929">
              <w:rPr>
                <w:rFonts w:ascii="Times New Roman" w:hAnsi="Times New Roman" w:cs="Times New Roman"/>
              </w:rPr>
              <w:t>Ponadto wyjaśnienia wymaga ratio legis regulacji zawartej</w:t>
            </w:r>
            <w:r w:rsidR="009819FF" w:rsidRPr="00584929">
              <w:rPr>
                <w:rFonts w:ascii="Times New Roman" w:hAnsi="Times New Roman" w:cs="Times New Roman"/>
              </w:rPr>
              <w:t xml:space="preserve"> w art. 4 ust. 2 skoro ustawa z </w:t>
            </w:r>
            <w:r w:rsidR="001E6DBA" w:rsidRPr="00584929">
              <w:rPr>
                <w:rFonts w:ascii="Times New Roman" w:hAnsi="Times New Roman" w:cs="Times New Roman"/>
              </w:rPr>
              <w:t>dnia 6 września 2001 r. o </w:t>
            </w:r>
            <w:r w:rsidRPr="00584929">
              <w:rPr>
                <w:rFonts w:ascii="Times New Roman" w:hAnsi="Times New Roman" w:cs="Times New Roman"/>
              </w:rPr>
              <w:t>dostępie do informacji publicznej formułuje w sposób wyczerpujący katalog informacji oraz podmiotów zobowiązanych do publikowania informacji w BIP, zaś art. 7 projektu ustawy wskazuje, że „przepisy ustawy nie naruszają prawa do dostępu do informacji publicznej”; to zamieszczona w art. 4 ust. 2 regulacja wydaje się pozostawa</w:t>
            </w:r>
            <w:r w:rsidR="00467368" w:rsidRPr="00584929">
              <w:rPr>
                <w:rFonts w:ascii="Times New Roman" w:hAnsi="Times New Roman" w:cs="Times New Roman"/>
              </w:rPr>
              <w:t>ć poza zakresem przedmiotowym i </w:t>
            </w:r>
            <w:r w:rsidRPr="00584929">
              <w:rPr>
                <w:rFonts w:ascii="Times New Roman" w:hAnsi="Times New Roman" w:cs="Times New Roman"/>
              </w:rPr>
              <w:t>podmiotowym niniejszej ustawy, co stanowi naruszenie § 3 ust. 2 zasad technik</w:t>
            </w:r>
            <w:r w:rsidR="009819FF" w:rsidRPr="00584929">
              <w:rPr>
                <w:rFonts w:ascii="Times New Roman" w:hAnsi="Times New Roman" w:cs="Times New Roman"/>
              </w:rPr>
              <w:t>i prawodawczej, uregulowanych w </w:t>
            </w:r>
            <w:r w:rsidRPr="00584929">
              <w:rPr>
                <w:rFonts w:ascii="Times New Roman" w:hAnsi="Times New Roman" w:cs="Times New Roman"/>
              </w:rPr>
              <w:t>załączniku do rozporządzenia Prezesa Rady Minist</w:t>
            </w:r>
            <w:r w:rsidR="009819FF" w:rsidRPr="00584929">
              <w:rPr>
                <w:rFonts w:ascii="Times New Roman" w:hAnsi="Times New Roman" w:cs="Times New Roman"/>
              </w:rPr>
              <w:t>rów z dnia 20 czerwca 2002 r. w </w:t>
            </w:r>
            <w:r w:rsidRPr="00584929">
              <w:rPr>
                <w:rFonts w:ascii="Times New Roman" w:hAnsi="Times New Roman" w:cs="Times New Roman"/>
              </w:rPr>
              <w:t>sprawie „Zasad techniki prawodawczej” (Dz. U. z 2016 r. poz. 283), zwanych dalej „ZTP”.</w:t>
            </w:r>
          </w:p>
        </w:tc>
        <w:tc>
          <w:tcPr>
            <w:tcW w:w="4785" w:type="dxa"/>
            <w:shd w:val="clear" w:color="auto" w:fill="auto"/>
          </w:tcPr>
          <w:p w14:paraId="400583CC" w14:textId="0928ACEF" w:rsidR="00E31B4B" w:rsidRPr="00584929" w:rsidRDefault="00E31B4B" w:rsidP="004A29FC">
            <w:pPr>
              <w:rPr>
                <w:rFonts w:ascii="Times New Roman" w:hAnsi="Times New Roman" w:cs="Times New Roman"/>
                <w:b/>
              </w:rPr>
            </w:pPr>
            <w:r w:rsidRPr="00584929">
              <w:rPr>
                <w:rFonts w:ascii="Times New Roman" w:hAnsi="Times New Roman" w:cs="Times New Roman"/>
                <w:b/>
              </w:rPr>
              <w:t xml:space="preserve">Uwaga </w:t>
            </w:r>
            <w:r w:rsidR="003F3CA4" w:rsidRPr="00584929">
              <w:rPr>
                <w:rFonts w:ascii="Times New Roman" w:hAnsi="Times New Roman" w:cs="Times New Roman"/>
                <w:b/>
              </w:rPr>
              <w:t>wyjaśniona</w:t>
            </w:r>
            <w:r w:rsidRPr="00584929">
              <w:rPr>
                <w:rFonts w:ascii="Times New Roman" w:hAnsi="Times New Roman" w:cs="Times New Roman"/>
                <w:b/>
              </w:rPr>
              <w:t xml:space="preserve"> </w:t>
            </w:r>
          </w:p>
          <w:p w14:paraId="24E652BB" w14:textId="31BB165D" w:rsidR="00893992" w:rsidRPr="00584929" w:rsidRDefault="00467368" w:rsidP="00467368">
            <w:pPr>
              <w:jc w:val="both"/>
              <w:rPr>
                <w:rFonts w:ascii="Times New Roman" w:hAnsi="Times New Roman" w:cs="Times New Roman"/>
              </w:rPr>
            </w:pPr>
            <w:r w:rsidRPr="00584929">
              <w:rPr>
                <w:rFonts w:ascii="Times New Roman" w:hAnsi="Times New Roman" w:cs="Times New Roman"/>
              </w:rPr>
              <w:t>Art. 4 ust. 1 wymienia podmioty, które zostały wyłączone z regulacji ustawowej (ustawy nie stosuje się do ISP będących w posiadaniu tych podmiotów). Należy jednak podkreślić, że wśród ISP będących w posiadaniu podmiotów, o których mowa w art. 4 ust. 1 znajdują się również informacje publiczne podlegające z mocy prawa udostępnianiu w BIP. Stąd wprowadzenie w art. 4 ust. 2 wyjątku dot. tego rodzaju informacji (wyjątku od generalnego wyłączenia). Informacje publiczne udostępniane w BIP należy traktować jak ISP podlegające w całości przepisom ustawy (niezależne od tego w czyim posiadaniu będą  te informacje). Innymi słowy art. 4 ust. 2 wskazuje, że ograniczeń w stosowaniu ustawy nie stosuje się do informacji publicznych podlegających udostępnieniu w BIP. Gdyby nie</w:t>
            </w:r>
            <w:r w:rsidR="003F3CA4" w:rsidRPr="00584929">
              <w:rPr>
                <w:rFonts w:ascii="Times New Roman" w:hAnsi="Times New Roman" w:cs="Times New Roman"/>
              </w:rPr>
              <w:t xml:space="preserve"> wyjątek wprowadzony</w:t>
            </w:r>
            <w:r w:rsidRPr="00584929">
              <w:rPr>
                <w:rFonts w:ascii="Times New Roman" w:hAnsi="Times New Roman" w:cs="Times New Roman"/>
              </w:rPr>
              <w:t xml:space="preserve"> art. 4 ust. 2 mogłyby pojawić się uzasadnione wątpliwości co do możliwości ponownego wykorzystywania informacji publicznych podlegających obowiązkowi ud</w:t>
            </w:r>
            <w:r w:rsidR="003F3CA4" w:rsidRPr="00584929">
              <w:rPr>
                <w:rFonts w:ascii="Times New Roman" w:hAnsi="Times New Roman" w:cs="Times New Roman"/>
              </w:rPr>
              <w:t>ostepnienia w BIP, a będących w </w:t>
            </w:r>
            <w:r w:rsidRPr="00584929">
              <w:rPr>
                <w:rFonts w:ascii="Times New Roman" w:hAnsi="Times New Roman" w:cs="Times New Roman"/>
              </w:rPr>
              <w:t xml:space="preserve">posiadaniu podmiotów, o których mowa w art. 4 </w:t>
            </w:r>
            <w:r w:rsidRPr="00584929">
              <w:rPr>
                <w:rFonts w:ascii="Times New Roman" w:hAnsi="Times New Roman" w:cs="Times New Roman"/>
              </w:rPr>
              <w:lastRenderedPageBreak/>
              <w:t>ust. 1. Przepis ten funkc</w:t>
            </w:r>
            <w:r w:rsidR="003F3CA4" w:rsidRPr="00584929">
              <w:rPr>
                <w:rFonts w:ascii="Times New Roman" w:hAnsi="Times New Roman" w:cs="Times New Roman"/>
              </w:rPr>
              <w:t>jonuje również w ustawie z 2016 </w:t>
            </w:r>
            <w:r w:rsidRPr="00584929">
              <w:rPr>
                <w:rFonts w:ascii="Times New Roman" w:hAnsi="Times New Roman" w:cs="Times New Roman"/>
              </w:rPr>
              <w:t>r.</w:t>
            </w:r>
          </w:p>
        </w:tc>
      </w:tr>
      <w:tr w:rsidR="00893992" w:rsidRPr="00584929" w14:paraId="38579737" w14:textId="77777777" w:rsidTr="00D94ED7">
        <w:tc>
          <w:tcPr>
            <w:tcW w:w="676" w:type="dxa"/>
            <w:shd w:val="clear" w:color="auto" w:fill="auto"/>
          </w:tcPr>
          <w:p w14:paraId="1C6F84D3" w14:textId="77777777" w:rsidR="00893992" w:rsidRPr="00584929" w:rsidRDefault="00893992" w:rsidP="004A29FC">
            <w:pPr>
              <w:pStyle w:val="Akapitzlist"/>
              <w:numPr>
                <w:ilvl w:val="0"/>
                <w:numId w:val="20"/>
              </w:numPr>
              <w:rPr>
                <w:sz w:val="22"/>
                <w:szCs w:val="22"/>
              </w:rPr>
            </w:pPr>
          </w:p>
        </w:tc>
        <w:tc>
          <w:tcPr>
            <w:tcW w:w="1968" w:type="dxa"/>
            <w:shd w:val="clear" w:color="auto" w:fill="auto"/>
          </w:tcPr>
          <w:p w14:paraId="7D475B68" w14:textId="265CE0EE" w:rsidR="00893992" w:rsidRPr="00584929" w:rsidRDefault="00FA0CB8"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358A8CEF" w14:textId="51C52E8D" w:rsidR="00893992" w:rsidRPr="00584929" w:rsidRDefault="00FA0CB8" w:rsidP="004A29FC">
            <w:pPr>
              <w:rPr>
                <w:rFonts w:ascii="Times New Roman" w:hAnsi="Times New Roman" w:cs="Times New Roman"/>
              </w:rPr>
            </w:pPr>
            <w:r w:rsidRPr="00584929">
              <w:rPr>
                <w:rFonts w:ascii="Times New Roman" w:hAnsi="Times New Roman" w:cs="Times New Roman"/>
              </w:rPr>
              <w:t>Art. 5</w:t>
            </w:r>
          </w:p>
        </w:tc>
        <w:tc>
          <w:tcPr>
            <w:tcW w:w="5323" w:type="dxa"/>
            <w:shd w:val="clear" w:color="auto" w:fill="auto"/>
          </w:tcPr>
          <w:p w14:paraId="207D3DCB" w14:textId="61546F3E" w:rsidR="00FA0CB8" w:rsidRPr="00584929" w:rsidRDefault="00FA0CB8" w:rsidP="009819FF">
            <w:pPr>
              <w:jc w:val="both"/>
              <w:rPr>
                <w:rFonts w:ascii="Times New Roman" w:hAnsi="Times New Roman" w:cs="Times New Roman"/>
              </w:rPr>
            </w:pPr>
            <w:r w:rsidRPr="00584929">
              <w:rPr>
                <w:rFonts w:ascii="Times New Roman" w:hAnsi="Times New Roman" w:cs="Times New Roman"/>
              </w:rPr>
              <w:t>Wymaga wyjaśnienia r</w:t>
            </w:r>
            <w:r w:rsidR="00EA20B9" w:rsidRPr="00584929">
              <w:rPr>
                <w:rFonts w:ascii="Times New Roman" w:hAnsi="Times New Roman" w:cs="Times New Roman"/>
              </w:rPr>
              <w:t>elacja art. 5 projektu ustawy w </w:t>
            </w:r>
            <w:r w:rsidRPr="00584929">
              <w:rPr>
                <w:rFonts w:ascii="Times New Roman" w:hAnsi="Times New Roman" w:cs="Times New Roman"/>
              </w:rPr>
              <w:t>stosunku do:</w:t>
            </w:r>
          </w:p>
          <w:p w14:paraId="7FB85A20" w14:textId="77777777" w:rsidR="00FA0CB8" w:rsidRPr="00584929" w:rsidRDefault="00FA0CB8" w:rsidP="009819FF">
            <w:pPr>
              <w:pStyle w:val="Akapitzlist"/>
              <w:numPr>
                <w:ilvl w:val="0"/>
                <w:numId w:val="6"/>
              </w:numPr>
              <w:ind w:left="373"/>
              <w:jc w:val="both"/>
              <w:rPr>
                <w:sz w:val="22"/>
                <w:szCs w:val="22"/>
              </w:rPr>
            </w:pPr>
            <w:r w:rsidRPr="00584929">
              <w:rPr>
                <w:sz w:val="22"/>
                <w:szCs w:val="22"/>
              </w:rPr>
              <w:t>definicji użytkownika, o której mowa w art. 2 pkt 15, która odwołuje się jedynie do „osoby fizycznej, osoby prawnej lub jednostki organizacyjnej nieposiadającej osobowości prawnej”, zaś art. 5 wskazuje, że prawo do ponownego wykorzystania informacji sektora publicznego przysługuje „każdemu”. Przepisy te wymagają uspójnienia,</w:t>
            </w:r>
          </w:p>
          <w:p w14:paraId="1F4D72E2" w14:textId="0913237D" w:rsidR="00893992" w:rsidRPr="00584929" w:rsidRDefault="00FA0CB8" w:rsidP="009819FF">
            <w:pPr>
              <w:pStyle w:val="Akapitzlist"/>
              <w:numPr>
                <w:ilvl w:val="0"/>
                <w:numId w:val="6"/>
              </w:numPr>
              <w:ind w:left="373"/>
              <w:jc w:val="both"/>
              <w:rPr>
                <w:sz w:val="22"/>
                <w:szCs w:val="22"/>
              </w:rPr>
            </w:pPr>
            <w:r w:rsidRPr="00584929">
              <w:rPr>
                <w:sz w:val="22"/>
                <w:szCs w:val="22"/>
              </w:rPr>
              <w:t xml:space="preserve">art. 4 ust. 2 – który wskazuje, że przepisów ust. 1 (tj. wyłączenia stosowania przepisów ustawy w stosunku do danych będących w posiadaniu pomiotów wymienionych w tym przepisie, ze wskazanymi wyjątkami) nie stosuje się do informacji podlegających udostępnieniu w BIP, zaś art. 5 wskazuje, że informacje umieszczone w BIP – niezależnie od podmiotu umieszczającego - są objęte prawem do ponownego wykorzystania. Przepisy </w:t>
            </w:r>
            <w:r w:rsidR="009819FF" w:rsidRPr="00584929">
              <w:rPr>
                <w:sz w:val="22"/>
                <w:szCs w:val="22"/>
              </w:rPr>
              <w:t>te będą wymagały dostosowania i </w:t>
            </w:r>
            <w:r w:rsidRPr="00584929">
              <w:rPr>
                <w:sz w:val="22"/>
                <w:szCs w:val="22"/>
              </w:rPr>
              <w:t>przebudowy redakcyjnej, bi</w:t>
            </w:r>
            <w:r w:rsidR="009819FF" w:rsidRPr="00584929">
              <w:rPr>
                <w:sz w:val="22"/>
                <w:szCs w:val="22"/>
              </w:rPr>
              <w:t>orąc pod uwagę także uwagę nr 3.</w:t>
            </w:r>
          </w:p>
        </w:tc>
        <w:tc>
          <w:tcPr>
            <w:tcW w:w="4785" w:type="dxa"/>
            <w:shd w:val="clear" w:color="auto" w:fill="auto"/>
          </w:tcPr>
          <w:p w14:paraId="146FED0C" w14:textId="048D269D" w:rsidR="00FA0CB8" w:rsidRPr="00584929" w:rsidRDefault="00FA0CB8" w:rsidP="004A29FC">
            <w:pPr>
              <w:rPr>
                <w:rFonts w:ascii="Times New Roman" w:hAnsi="Times New Roman" w:cs="Times New Roman"/>
                <w:b/>
              </w:rPr>
            </w:pPr>
            <w:r w:rsidRPr="00584929">
              <w:rPr>
                <w:rFonts w:ascii="Times New Roman" w:hAnsi="Times New Roman" w:cs="Times New Roman"/>
                <w:b/>
              </w:rPr>
              <w:t>Uwaga wyjaśni</w:t>
            </w:r>
            <w:r w:rsidR="00EA20B9" w:rsidRPr="00584929">
              <w:rPr>
                <w:rFonts w:ascii="Times New Roman" w:hAnsi="Times New Roman" w:cs="Times New Roman"/>
                <w:b/>
              </w:rPr>
              <w:t>ona</w:t>
            </w:r>
          </w:p>
          <w:p w14:paraId="661DE766" w14:textId="587DF4F9" w:rsidR="00893992" w:rsidRPr="00584929" w:rsidRDefault="00EA20B9" w:rsidP="00EA20B9">
            <w:pPr>
              <w:jc w:val="both"/>
              <w:rPr>
                <w:rFonts w:ascii="Times New Roman" w:hAnsi="Times New Roman" w:cs="Times New Roman"/>
              </w:rPr>
            </w:pPr>
            <w:r w:rsidRPr="00584929">
              <w:rPr>
                <w:rFonts w:ascii="Times New Roman" w:hAnsi="Times New Roman" w:cs="Times New Roman"/>
              </w:rPr>
              <w:t>1. Relacja art. 5 do art. 2 pkt 15</w:t>
            </w:r>
            <w:r w:rsidR="003B1E7B" w:rsidRPr="00584929">
              <w:rPr>
                <w:rFonts w:ascii="Times New Roman" w:hAnsi="Times New Roman" w:cs="Times New Roman"/>
              </w:rPr>
              <w:t xml:space="preserve"> (w wersji projektu po konferencji uzgodnieniowej – art. 2 pkt 14).</w:t>
            </w:r>
          </w:p>
          <w:p w14:paraId="3BB77D1C" w14:textId="6F35E177" w:rsidR="00EA20B9" w:rsidRPr="00584929" w:rsidRDefault="00EA20B9" w:rsidP="003216C6">
            <w:pPr>
              <w:jc w:val="both"/>
              <w:rPr>
                <w:rFonts w:ascii="Times New Roman" w:hAnsi="Times New Roman" w:cs="Times New Roman"/>
              </w:rPr>
            </w:pPr>
            <w:r w:rsidRPr="00584929">
              <w:rPr>
                <w:rFonts w:ascii="Times New Roman" w:hAnsi="Times New Roman" w:cs="Times New Roman"/>
              </w:rPr>
              <w:t xml:space="preserve">Art. 5 projektu ustawy formułuje </w:t>
            </w:r>
            <w:r w:rsidR="003216C6" w:rsidRPr="00584929">
              <w:rPr>
                <w:rFonts w:ascii="Times New Roman" w:hAnsi="Times New Roman" w:cs="Times New Roman"/>
              </w:rPr>
              <w:t>podmiotowe prawo publiczne do korzystania z ISP (</w:t>
            </w:r>
            <w:r w:rsidRPr="00584929">
              <w:rPr>
                <w:rFonts w:ascii="Times New Roman" w:hAnsi="Times New Roman" w:cs="Times New Roman"/>
              </w:rPr>
              <w:t xml:space="preserve">każdemu przysługuje prawo do ponownego wykorzystywania </w:t>
            </w:r>
            <w:r w:rsidR="003216C6" w:rsidRPr="00584929">
              <w:rPr>
                <w:rFonts w:ascii="Times New Roman" w:hAnsi="Times New Roman" w:cs="Times New Roman"/>
              </w:rPr>
              <w:t xml:space="preserve">ISP). W przepisie tym posłużono się zwrotem „każdemu” z uwagi na fakt, że jest to prawo do skorzystania z danych. Dopiero wówczas kiedy zainteresowany podmiot zacznie korzystać z danych (ponowne wykorzystywać ISP) będzie ich użytkownikiem. </w:t>
            </w:r>
          </w:p>
          <w:p w14:paraId="09A73F8B" w14:textId="77777777" w:rsidR="00524E1C" w:rsidRPr="00584929" w:rsidRDefault="00524E1C" w:rsidP="003216C6">
            <w:pPr>
              <w:jc w:val="both"/>
              <w:rPr>
                <w:rFonts w:ascii="Times New Roman" w:hAnsi="Times New Roman" w:cs="Times New Roman"/>
              </w:rPr>
            </w:pPr>
          </w:p>
          <w:p w14:paraId="693B5FFA" w14:textId="77777777" w:rsidR="00EA20B9" w:rsidRPr="00584929" w:rsidRDefault="00EA20B9" w:rsidP="004A29FC">
            <w:pPr>
              <w:rPr>
                <w:rFonts w:ascii="Times New Roman" w:hAnsi="Times New Roman" w:cs="Times New Roman"/>
              </w:rPr>
            </w:pPr>
            <w:r w:rsidRPr="00584929">
              <w:rPr>
                <w:rFonts w:ascii="Times New Roman" w:hAnsi="Times New Roman" w:cs="Times New Roman"/>
              </w:rPr>
              <w:t>2. Relacja art. 5 do art. 4 ust. 2.</w:t>
            </w:r>
          </w:p>
          <w:p w14:paraId="184A5AFA" w14:textId="12D61BB3" w:rsidR="0059509B" w:rsidRPr="00584929" w:rsidRDefault="0059509B" w:rsidP="00EA20B9">
            <w:pPr>
              <w:jc w:val="both"/>
              <w:rPr>
                <w:rFonts w:ascii="Times New Roman" w:hAnsi="Times New Roman" w:cs="Times New Roman"/>
              </w:rPr>
            </w:pPr>
            <w:r w:rsidRPr="00584929">
              <w:rPr>
                <w:rFonts w:ascii="Times New Roman" w:hAnsi="Times New Roman" w:cs="Times New Roman"/>
              </w:rPr>
              <w:t xml:space="preserve">Art. 4 ust. 1 wymienia podmioty, które zostały wyłączone z regulacji ustawowej (ustawy nie stosuje się do ISP będących w posiadaniu tych podmiotów). Należy jednak podkreślić, że wśród ISP będących w posiadaniu podmiotów, o których mowa w art. 4 ust. 1 znajdują się również informacje publiczne podlegające z mocy prawa udostępnianiu w BIP. Stąd wprowadzenie w art. 4 ust. 2 wyjątku dot. tego rodzaju informacji (wyjątku od generalnego wyłączenia). Informacje publiczne udostępniane w BIP należy traktować jak ISP podlegające w całości przepisom ustawy (niezależne od tego w czyim posiadaniu będą  te informacje). Innymi słowy art. 4 ust. 2 wskazuje, że ograniczeń w stosowaniu ustawy nie stosuje się do informacji publicznych podlegających udostępnieniu w BIP. Gdyby nie wyjątek wprowadzony art. 4 ust. 2 mogłyby pojawić się uzasadnione wątpliwości co do możliwości ponownego wykorzystywania </w:t>
            </w:r>
            <w:r w:rsidRPr="00584929">
              <w:rPr>
                <w:rFonts w:ascii="Times New Roman" w:hAnsi="Times New Roman" w:cs="Times New Roman"/>
              </w:rPr>
              <w:lastRenderedPageBreak/>
              <w:t>informacji publicznych podlegających obowiązkowi ud</w:t>
            </w:r>
            <w:r w:rsidR="003B1E7B" w:rsidRPr="00584929">
              <w:rPr>
                <w:rFonts w:ascii="Times New Roman" w:hAnsi="Times New Roman" w:cs="Times New Roman"/>
              </w:rPr>
              <w:t>ostepnienia w BIP, a będących w </w:t>
            </w:r>
            <w:r w:rsidRPr="00584929">
              <w:rPr>
                <w:rFonts w:ascii="Times New Roman" w:hAnsi="Times New Roman" w:cs="Times New Roman"/>
              </w:rPr>
              <w:t>posiadaniu podmiotów, o których mowa w art. 4 ust. 1. Przepis ten funkcjonuje również w ustawie z 2016 r.</w:t>
            </w:r>
          </w:p>
          <w:p w14:paraId="00259114" w14:textId="058F7C25" w:rsidR="00EA20B9" w:rsidRPr="00584929" w:rsidRDefault="00EA20B9" w:rsidP="00EA20B9">
            <w:pPr>
              <w:jc w:val="both"/>
              <w:rPr>
                <w:rFonts w:ascii="Times New Roman" w:hAnsi="Times New Roman" w:cs="Times New Roman"/>
              </w:rPr>
            </w:pPr>
            <w:r w:rsidRPr="00584929">
              <w:rPr>
                <w:rFonts w:ascii="Times New Roman" w:hAnsi="Times New Roman" w:cs="Times New Roman"/>
              </w:rPr>
              <w:t>Dodatkowo należy wyjaśniać, że ze względu na źródła pozyskiwania ISP do ponownego wykorzystywania w art. 5  wyszczególniono</w:t>
            </w:r>
            <w:r w:rsidR="003216C6" w:rsidRPr="00584929">
              <w:rPr>
                <w:rFonts w:ascii="Times New Roman" w:hAnsi="Times New Roman" w:cs="Times New Roman"/>
              </w:rPr>
              <w:t>:</w:t>
            </w:r>
          </w:p>
          <w:p w14:paraId="2B16F38D" w14:textId="46C061F6" w:rsidR="00EA20B9" w:rsidRPr="00584929" w:rsidRDefault="003216C6" w:rsidP="00A07FD4">
            <w:pPr>
              <w:pStyle w:val="Akapitzlist"/>
              <w:numPr>
                <w:ilvl w:val="0"/>
                <w:numId w:val="30"/>
              </w:numPr>
              <w:ind w:left="317" w:hanging="284"/>
              <w:jc w:val="both"/>
              <w:rPr>
                <w:sz w:val="22"/>
                <w:szCs w:val="22"/>
              </w:rPr>
            </w:pPr>
            <w:r w:rsidRPr="00584929">
              <w:rPr>
                <w:sz w:val="22"/>
                <w:szCs w:val="22"/>
              </w:rPr>
              <w:t xml:space="preserve">udostępnianie danych </w:t>
            </w:r>
            <w:r w:rsidR="00EA20B9" w:rsidRPr="00584929">
              <w:rPr>
                <w:sz w:val="22"/>
                <w:szCs w:val="22"/>
              </w:rPr>
              <w:t>poprzez system teleinformatyczny (</w:t>
            </w:r>
            <w:r w:rsidRPr="00584929">
              <w:rPr>
                <w:sz w:val="22"/>
                <w:szCs w:val="22"/>
              </w:rPr>
              <w:t xml:space="preserve">BIP lub </w:t>
            </w:r>
            <w:r w:rsidR="00EA20B9" w:rsidRPr="00584929">
              <w:rPr>
                <w:sz w:val="22"/>
                <w:szCs w:val="22"/>
              </w:rPr>
              <w:t>portal danych lub inny system teleinformatyczny podmiotu zobowiązanego)</w:t>
            </w:r>
            <w:r w:rsidRPr="00584929">
              <w:rPr>
                <w:sz w:val="22"/>
                <w:szCs w:val="22"/>
              </w:rPr>
              <w:t>,</w:t>
            </w:r>
          </w:p>
          <w:p w14:paraId="72D3FA68" w14:textId="77777777" w:rsidR="00EA20B9" w:rsidRPr="00584929" w:rsidRDefault="00EA20B9" w:rsidP="00A07FD4">
            <w:pPr>
              <w:pStyle w:val="Akapitzlist"/>
              <w:numPr>
                <w:ilvl w:val="0"/>
                <w:numId w:val="30"/>
              </w:numPr>
              <w:ind w:left="317" w:hanging="284"/>
              <w:jc w:val="both"/>
              <w:rPr>
                <w:sz w:val="22"/>
                <w:szCs w:val="22"/>
              </w:rPr>
            </w:pPr>
            <w:r w:rsidRPr="00584929">
              <w:rPr>
                <w:sz w:val="22"/>
                <w:szCs w:val="22"/>
              </w:rPr>
              <w:t xml:space="preserve">przekazywanie ISP na wniosek. </w:t>
            </w:r>
          </w:p>
          <w:p w14:paraId="793D1B92" w14:textId="7B06B6E6" w:rsidR="00EA20B9" w:rsidRPr="00584929" w:rsidRDefault="00EA20B9" w:rsidP="0059509B">
            <w:pPr>
              <w:ind w:left="33"/>
              <w:jc w:val="both"/>
              <w:rPr>
                <w:rFonts w:ascii="Times New Roman" w:hAnsi="Times New Roman" w:cs="Times New Roman"/>
              </w:rPr>
            </w:pPr>
            <w:r w:rsidRPr="00584929">
              <w:rPr>
                <w:rFonts w:ascii="Times New Roman" w:hAnsi="Times New Roman" w:cs="Times New Roman"/>
              </w:rPr>
              <w:t>Od sposobu udostępnienia oraz spełnienia określonych w projekcie ustawy warunków będzie zależało czy ISP można wykorzystywać be</w:t>
            </w:r>
            <w:r w:rsidR="0059509B" w:rsidRPr="00584929">
              <w:rPr>
                <w:rFonts w:ascii="Times New Roman" w:hAnsi="Times New Roman" w:cs="Times New Roman"/>
              </w:rPr>
              <w:t>z składania odrębnych wniosków.</w:t>
            </w:r>
          </w:p>
        </w:tc>
      </w:tr>
      <w:tr w:rsidR="00893992" w:rsidRPr="00584929" w14:paraId="721A0FF0" w14:textId="77777777" w:rsidTr="00D94ED7">
        <w:tc>
          <w:tcPr>
            <w:tcW w:w="676" w:type="dxa"/>
            <w:shd w:val="clear" w:color="auto" w:fill="auto"/>
          </w:tcPr>
          <w:p w14:paraId="5730414E" w14:textId="77777777" w:rsidR="00893992" w:rsidRPr="00584929" w:rsidRDefault="00893992" w:rsidP="004A29FC">
            <w:pPr>
              <w:pStyle w:val="Akapitzlist"/>
              <w:numPr>
                <w:ilvl w:val="0"/>
                <w:numId w:val="20"/>
              </w:numPr>
              <w:rPr>
                <w:sz w:val="22"/>
                <w:szCs w:val="22"/>
              </w:rPr>
            </w:pPr>
          </w:p>
        </w:tc>
        <w:tc>
          <w:tcPr>
            <w:tcW w:w="1968" w:type="dxa"/>
            <w:shd w:val="clear" w:color="auto" w:fill="auto"/>
          </w:tcPr>
          <w:p w14:paraId="71462406" w14:textId="3F21ADAE" w:rsidR="00893992" w:rsidRPr="00584929" w:rsidRDefault="005137BC"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13ADBDDE" w14:textId="75252CD1" w:rsidR="005137BC" w:rsidRPr="00584929" w:rsidRDefault="00654F59" w:rsidP="004A29FC">
            <w:pPr>
              <w:rPr>
                <w:rFonts w:ascii="Times New Roman" w:hAnsi="Times New Roman" w:cs="Times New Roman"/>
              </w:rPr>
            </w:pPr>
            <w:r w:rsidRPr="00584929">
              <w:rPr>
                <w:rFonts w:ascii="Times New Roman" w:hAnsi="Times New Roman" w:cs="Times New Roman"/>
              </w:rPr>
              <w:t>Art. 6 ust. 3</w:t>
            </w:r>
          </w:p>
          <w:p w14:paraId="134DDB21" w14:textId="4E67B548" w:rsidR="005137BC" w:rsidRPr="00584929" w:rsidRDefault="00654F59" w:rsidP="004A29FC">
            <w:pPr>
              <w:rPr>
                <w:rFonts w:ascii="Times New Roman" w:hAnsi="Times New Roman" w:cs="Times New Roman"/>
              </w:rPr>
            </w:pPr>
            <w:r w:rsidRPr="00584929">
              <w:rPr>
                <w:rFonts w:ascii="Times New Roman" w:hAnsi="Times New Roman" w:cs="Times New Roman"/>
              </w:rPr>
              <w:t>[MS - art. 6 ust. 1]</w:t>
            </w:r>
          </w:p>
          <w:p w14:paraId="2CDC2F85" w14:textId="77777777" w:rsidR="005137BC" w:rsidRPr="00584929" w:rsidRDefault="005137BC" w:rsidP="004A29FC">
            <w:pPr>
              <w:rPr>
                <w:rFonts w:ascii="Times New Roman" w:hAnsi="Times New Roman" w:cs="Times New Roman"/>
              </w:rPr>
            </w:pPr>
          </w:p>
          <w:p w14:paraId="2AE10074" w14:textId="7075D0A7" w:rsidR="00893992" w:rsidRPr="00584929" w:rsidRDefault="00893992" w:rsidP="004A29FC">
            <w:pPr>
              <w:jc w:val="center"/>
              <w:rPr>
                <w:rFonts w:ascii="Times New Roman" w:hAnsi="Times New Roman" w:cs="Times New Roman"/>
              </w:rPr>
            </w:pPr>
          </w:p>
        </w:tc>
        <w:tc>
          <w:tcPr>
            <w:tcW w:w="5323" w:type="dxa"/>
            <w:shd w:val="clear" w:color="auto" w:fill="auto"/>
          </w:tcPr>
          <w:p w14:paraId="14DB28CD" w14:textId="05F281AC" w:rsidR="00C53BFE" w:rsidRPr="00584929" w:rsidRDefault="005137BC" w:rsidP="008F0FB3">
            <w:pPr>
              <w:jc w:val="both"/>
              <w:rPr>
                <w:rFonts w:ascii="Times New Roman" w:hAnsi="Times New Roman" w:cs="Times New Roman"/>
              </w:rPr>
            </w:pPr>
            <w:r w:rsidRPr="00584929">
              <w:rPr>
                <w:rFonts w:ascii="Times New Roman" w:hAnsi="Times New Roman" w:cs="Times New Roman"/>
              </w:rPr>
              <w:t>Pod rozwagę należy poddać zmianę art. 6 ust. 1 zdanie 1 projektu ustawy [</w:t>
            </w:r>
            <w:r w:rsidR="00CA0505" w:rsidRPr="00584929">
              <w:rPr>
                <w:rFonts w:ascii="Times New Roman" w:hAnsi="Times New Roman" w:cs="Times New Roman"/>
              </w:rPr>
              <w:t xml:space="preserve">chodzi o </w:t>
            </w:r>
            <w:r w:rsidRPr="00584929">
              <w:rPr>
                <w:rFonts w:ascii="Times New Roman" w:hAnsi="Times New Roman" w:cs="Times New Roman"/>
              </w:rPr>
              <w:t>art. 6 ust. 3]. Wskazane tam ograniczenie prawa do ponownego wykorzystania ma odniesienie do informacji, do których dostęp jest ograniczony na podstawie innych ustaw. Takie sformułowanie, w kontekście działających Centralnych Informacji (CI) powołan</w:t>
            </w:r>
            <w:r w:rsidR="0059749A" w:rsidRPr="00584929">
              <w:rPr>
                <w:rFonts w:ascii="Times New Roman" w:hAnsi="Times New Roman" w:cs="Times New Roman"/>
              </w:rPr>
              <w:t>ych do dystrybucji informacji z </w:t>
            </w:r>
            <w:r w:rsidRPr="00584929">
              <w:rPr>
                <w:rFonts w:ascii="Times New Roman" w:hAnsi="Times New Roman" w:cs="Times New Roman"/>
              </w:rPr>
              <w:t>rejestrów sądowych, wydaje się niewłaściwe. CI rejestrów sądowych w żaden sposób nie ograniczają dostępu do tych rejestrów. Tworząc jednak kompletny system dystrybucji danych z tych rejestrów tworzą sytuacje, w których – jeśli ponowne wykorzystanie ma mieć miejsce – winno być zapisane właśnie w przepisach ustaw regulujących funkcjonowanie tych CI. Taki właśni</w:t>
            </w:r>
            <w:r w:rsidR="00915366" w:rsidRPr="00584929">
              <w:rPr>
                <w:rFonts w:ascii="Times New Roman" w:hAnsi="Times New Roman" w:cs="Times New Roman"/>
              </w:rPr>
              <w:t>e zabieg został dokonany w art. </w:t>
            </w:r>
            <w:r w:rsidRPr="00584929">
              <w:rPr>
                <w:rFonts w:ascii="Times New Roman" w:hAnsi="Times New Roman" w:cs="Times New Roman"/>
              </w:rPr>
              <w:t xml:space="preserve">48 projektu, poprzez </w:t>
            </w:r>
            <w:r w:rsidRPr="00584929">
              <w:rPr>
                <w:rFonts w:ascii="Times New Roman" w:hAnsi="Times New Roman" w:cs="Times New Roman"/>
              </w:rPr>
              <w:lastRenderedPageBreak/>
              <w:t>nowelizację ustawy z dnia 20 sierpnia 1997 r. o Krajowym Rejestrze Sądowym (Dz.</w:t>
            </w:r>
            <w:r w:rsidR="0059749A" w:rsidRPr="00584929">
              <w:rPr>
                <w:rFonts w:ascii="Times New Roman" w:hAnsi="Times New Roman" w:cs="Times New Roman"/>
              </w:rPr>
              <w:t xml:space="preserve"> U. z 2019 r. poz. 1500, 1655 i </w:t>
            </w:r>
            <w:r w:rsidRPr="00584929">
              <w:rPr>
                <w:rFonts w:ascii="Times New Roman" w:hAnsi="Times New Roman" w:cs="Times New Roman"/>
              </w:rPr>
              <w:t>1798, dalej: „ustawa o KRS”). Traktowanie systemów CI rejestrów sądowych jako regulacji ograniczającej dostęp na podstawie innych ustaw jest niewłaściwym podejściem do systemu dystrybucji danych z rejestrów sądowych. Mając powyższe na uwadze pod rozwagę należy poddać taką zmianę przepisów, która albo w sposób wyraźny i nie budzący wątpliwości określi wyłączne kompetencje ustaw szczególnych do za</w:t>
            </w:r>
            <w:r w:rsidR="0059749A" w:rsidRPr="00584929">
              <w:rPr>
                <w:rFonts w:ascii="Times New Roman" w:hAnsi="Times New Roman" w:cs="Times New Roman"/>
              </w:rPr>
              <w:t>warcia w ich treści przepisów o </w:t>
            </w:r>
            <w:r w:rsidRPr="00584929">
              <w:rPr>
                <w:rFonts w:ascii="Times New Roman" w:hAnsi="Times New Roman" w:cs="Times New Roman"/>
              </w:rPr>
              <w:t>ponownym wykorzystaniu informacji. Właściwym miejscem na dokonanie takiej zmiany mógłby być także art. 4 ust 3 projektu po zmianie jego treści in fine. Należałoby dokonać w nim wskazania, iż przepisów projektowanej ustawy nie stosuje się  do: a) informacji sektora publicznego, których udostępnianie lub przekazywanie zostało uzależnione od wykazania przez użytkowników interesu prawnego lub faktycznego; b) informacji z rejestrów sądowych (po ich szczegółowym wskazaniu), do których dostęp regulowany jest odrębnymi przepisami.</w:t>
            </w:r>
          </w:p>
        </w:tc>
        <w:tc>
          <w:tcPr>
            <w:tcW w:w="4785" w:type="dxa"/>
            <w:shd w:val="clear" w:color="auto" w:fill="auto"/>
          </w:tcPr>
          <w:p w14:paraId="22482B9B" w14:textId="77777777" w:rsidR="005137BC" w:rsidRPr="00584929" w:rsidRDefault="005137BC" w:rsidP="004A29FC">
            <w:pPr>
              <w:rPr>
                <w:rFonts w:ascii="Times New Roman" w:hAnsi="Times New Roman" w:cs="Times New Roman"/>
                <w:b/>
              </w:rPr>
            </w:pPr>
            <w:r w:rsidRPr="00584929">
              <w:rPr>
                <w:rFonts w:ascii="Times New Roman" w:hAnsi="Times New Roman" w:cs="Times New Roman"/>
                <w:b/>
              </w:rPr>
              <w:lastRenderedPageBreak/>
              <w:t>Uwaga nieuwzględniona</w:t>
            </w:r>
          </w:p>
          <w:p w14:paraId="6C9518B6" w14:textId="6E469FA3" w:rsidR="00085C57" w:rsidRPr="00584929" w:rsidRDefault="00031B29" w:rsidP="008362E1">
            <w:pPr>
              <w:jc w:val="both"/>
              <w:rPr>
                <w:rFonts w:ascii="Times New Roman" w:hAnsi="Times New Roman" w:cs="Times New Roman"/>
              </w:rPr>
            </w:pPr>
            <w:r w:rsidRPr="00584929">
              <w:rPr>
                <w:rFonts w:ascii="Times New Roman" w:hAnsi="Times New Roman" w:cs="Times New Roman"/>
              </w:rPr>
              <w:t xml:space="preserve">Projekt ustawy reguluje kwestię relacji przepisów ustaw szczególnych i przepisów projektowanej ustawy (reguły kolizyjne). Zgodne z art. 7 ust. 1 projektu ustawy w przypadku zbiegu przepisów zastosowanie znajdować będą przepisy ustawy szczególnej, które w sposób odmienny </w:t>
            </w:r>
            <w:r w:rsidR="005E2FC6" w:rsidRPr="00584929">
              <w:rPr>
                <w:rFonts w:ascii="Times New Roman" w:hAnsi="Times New Roman" w:cs="Times New Roman"/>
              </w:rPr>
              <w:t xml:space="preserve">niż projektowana ustawa </w:t>
            </w:r>
            <w:r w:rsidRPr="00584929">
              <w:rPr>
                <w:rFonts w:ascii="Times New Roman" w:hAnsi="Times New Roman" w:cs="Times New Roman"/>
              </w:rPr>
              <w:t xml:space="preserve">regulują zasady, warunki i tryb dostępu </w:t>
            </w:r>
            <w:r w:rsidR="00085C57" w:rsidRPr="00584929">
              <w:rPr>
                <w:rFonts w:ascii="Times New Roman" w:hAnsi="Times New Roman" w:cs="Times New Roman"/>
              </w:rPr>
              <w:t>do ISP (zob. B. Fischer, A. Piskorz-Ryń, M. Sakowska-Baryła, J. Wyporska-Frankiewicz, Ustawa o ponownym wykorzystywaniu informacji sektora publicznego. Komentarz. Wolters Kluwer, wydanie 2, Warszawa 2019, str. 226</w:t>
            </w:r>
            <w:r w:rsidR="00085C57" w:rsidRPr="00584929">
              <w:rPr>
                <w:rStyle w:val="Odwoanieprzypisudolnego"/>
                <w:rFonts w:ascii="Times New Roman" w:hAnsi="Times New Roman" w:cs="Times New Roman"/>
              </w:rPr>
              <w:footnoteReference w:id="2"/>
            </w:r>
            <w:r w:rsidR="002F7710">
              <w:rPr>
                <w:rFonts w:ascii="Times New Roman" w:hAnsi="Times New Roman" w:cs="Times New Roman"/>
                <w:vertAlign w:val="superscript"/>
              </w:rPr>
              <w:t>)</w:t>
            </w:r>
            <w:r w:rsidR="00085C57" w:rsidRPr="00584929">
              <w:rPr>
                <w:rFonts w:ascii="Times New Roman" w:hAnsi="Times New Roman" w:cs="Times New Roman"/>
              </w:rPr>
              <w:t>).</w:t>
            </w:r>
          </w:p>
          <w:p w14:paraId="226B46C5" w14:textId="5EE1CB52" w:rsidR="0059749A" w:rsidRPr="00584929" w:rsidRDefault="00031B29" w:rsidP="008362E1">
            <w:pPr>
              <w:jc w:val="both"/>
              <w:rPr>
                <w:rFonts w:ascii="Times New Roman" w:hAnsi="Times New Roman" w:cs="Times New Roman"/>
              </w:rPr>
            </w:pPr>
            <w:r w:rsidRPr="00584929">
              <w:rPr>
                <w:rFonts w:ascii="Times New Roman" w:hAnsi="Times New Roman" w:cs="Times New Roman"/>
              </w:rPr>
              <w:t>Regulację art. 7 ust. 1</w:t>
            </w:r>
            <w:r w:rsidR="005E2FC6" w:rsidRPr="00584929">
              <w:rPr>
                <w:rFonts w:ascii="Times New Roman" w:hAnsi="Times New Roman" w:cs="Times New Roman"/>
              </w:rPr>
              <w:t xml:space="preserve"> należy wiązać z przepisem art. </w:t>
            </w:r>
            <w:r w:rsidRPr="00584929">
              <w:rPr>
                <w:rFonts w:ascii="Times New Roman" w:hAnsi="Times New Roman" w:cs="Times New Roman"/>
              </w:rPr>
              <w:t xml:space="preserve">6 ust. 3 projektu, w którym przewidziano </w:t>
            </w:r>
            <w:r w:rsidRPr="00584929">
              <w:rPr>
                <w:rFonts w:ascii="Times New Roman" w:hAnsi="Times New Roman" w:cs="Times New Roman"/>
              </w:rPr>
              <w:lastRenderedPageBreak/>
              <w:t>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użycie właśnie takiego zwrotu lub tożsamego, ale również do takich regulacji, które w sposób pozytywny określają reguły dostępu do informacji (zob.</w:t>
            </w:r>
            <w:r w:rsidR="00DF6AE1" w:rsidRPr="00584929">
              <w:rPr>
                <w:rFonts w:ascii="Times New Roman" w:hAnsi="Times New Roman" w:cs="Times New Roman"/>
              </w:rPr>
              <w:t xml:space="preserve"> B. Fischer, A. Piskorz-Ryń, M. </w:t>
            </w:r>
            <w:r w:rsidRPr="00584929">
              <w:rPr>
                <w:rFonts w:ascii="Times New Roman" w:hAnsi="Times New Roman" w:cs="Times New Roman"/>
              </w:rPr>
              <w:t>Sakowska-Baryła, J.</w:t>
            </w:r>
            <w:r w:rsidR="00085C57" w:rsidRPr="00584929">
              <w:rPr>
                <w:rFonts w:ascii="Times New Roman" w:hAnsi="Times New Roman" w:cs="Times New Roman"/>
              </w:rPr>
              <w:t xml:space="preserve"> Wyporska-Frankiewicz, Ustawa o </w:t>
            </w:r>
            <w:r w:rsidRPr="00584929">
              <w:rPr>
                <w:rFonts w:ascii="Times New Roman" w:hAnsi="Times New Roman" w:cs="Times New Roman"/>
              </w:rPr>
              <w:t>ponownym wykorzystywaniu informacji sektora publicznego. Komentarz. Wolters Kluwer, wydanie 2, Warszawa 2019, str. 143</w:t>
            </w:r>
            <w:r w:rsidRPr="00584929">
              <w:rPr>
                <w:rStyle w:val="Odwoanieprzypisudolnego"/>
                <w:rFonts w:ascii="Times New Roman" w:hAnsi="Times New Roman" w:cs="Times New Roman"/>
              </w:rPr>
              <w:footnoteReference w:id="3"/>
            </w:r>
            <w:r w:rsidR="002F7710">
              <w:rPr>
                <w:rFonts w:ascii="Times New Roman" w:hAnsi="Times New Roman" w:cs="Times New Roman"/>
                <w:vertAlign w:val="superscript"/>
              </w:rPr>
              <w:t>)</w:t>
            </w:r>
            <w:r w:rsidRPr="00584929">
              <w:rPr>
                <w:rFonts w:ascii="Times New Roman" w:hAnsi="Times New Roman" w:cs="Times New Roman"/>
              </w:rPr>
              <w:t>).</w:t>
            </w:r>
          </w:p>
          <w:p w14:paraId="5C39D941" w14:textId="5A040EE3" w:rsidR="0059749A" w:rsidRPr="00B40976" w:rsidRDefault="0059749A" w:rsidP="008362E1">
            <w:pPr>
              <w:jc w:val="both"/>
              <w:rPr>
                <w:rFonts w:ascii="Times New Roman" w:hAnsi="Times New Roman" w:cs="Times New Roman"/>
                <w:u w:val="single"/>
              </w:rPr>
            </w:pPr>
            <w:r w:rsidRPr="00584929">
              <w:rPr>
                <w:rFonts w:ascii="Times New Roman" w:hAnsi="Times New Roman" w:cs="Times New Roman"/>
              </w:rPr>
              <w:t xml:space="preserve">Znowelizowane przepisy ustawy </w:t>
            </w:r>
            <w:r w:rsidR="00DF6AE1" w:rsidRPr="00584929">
              <w:rPr>
                <w:rFonts w:ascii="Times New Roman" w:hAnsi="Times New Roman" w:cs="Times New Roman"/>
              </w:rPr>
              <w:t>z dnia 20 sierpnia 1997 r. o Krajowym Rejestrze Sądowym (Dz. U. z 2019 r., poz. 1500, z późn. zm.) w brzmieniu, o </w:t>
            </w:r>
            <w:r w:rsidRPr="00584929">
              <w:rPr>
                <w:rFonts w:ascii="Times New Roman" w:hAnsi="Times New Roman" w:cs="Times New Roman"/>
              </w:rPr>
              <w:t xml:space="preserve">którym mowa w art. 48 </w:t>
            </w:r>
            <w:r w:rsidR="00DF6AE1" w:rsidRPr="00584929">
              <w:rPr>
                <w:rFonts w:ascii="Times New Roman" w:hAnsi="Times New Roman" w:cs="Times New Roman"/>
              </w:rPr>
              <w:t xml:space="preserve"> </w:t>
            </w:r>
            <w:r w:rsidRPr="00584929">
              <w:rPr>
                <w:rFonts w:ascii="Times New Roman" w:hAnsi="Times New Roman" w:cs="Times New Roman"/>
              </w:rPr>
              <w:t xml:space="preserve">projektu ustawy </w:t>
            </w:r>
            <w:r w:rsidR="00DF6AE1" w:rsidRPr="00584929">
              <w:rPr>
                <w:rFonts w:ascii="Times New Roman" w:hAnsi="Times New Roman" w:cs="Times New Roman"/>
              </w:rPr>
              <w:t>(</w:t>
            </w:r>
            <w:r w:rsidR="005E2FC6" w:rsidRPr="00584929">
              <w:rPr>
                <w:rFonts w:ascii="Times New Roman" w:hAnsi="Times New Roman" w:cs="Times New Roman"/>
              </w:rPr>
              <w:t xml:space="preserve">w wersji projektu po konferencji uzgodnieniowej - </w:t>
            </w:r>
            <w:r w:rsidR="00DF6AE1" w:rsidRPr="00584929">
              <w:rPr>
                <w:rFonts w:ascii="Times New Roman" w:hAnsi="Times New Roman" w:cs="Times New Roman"/>
              </w:rPr>
              <w:t xml:space="preserve">art. </w:t>
            </w:r>
            <w:r w:rsidR="005E2FC6" w:rsidRPr="00584929">
              <w:rPr>
                <w:rFonts w:ascii="Times New Roman" w:hAnsi="Times New Roman" w:cs="Times New Roman"/>
              </w:rPr>
              <w:t>52)</w:t>
            </w:r>
            <w:r w:rsidR="00DF6AE1" w:rsidRPr="00584929">
              <w:rPr>
                <w:rFonts w:ascii="Times New Roman" w:hAnsi="Times New Roman" w:cs="Times New Roman"/>
              </w:rPr>
              <w:t xml:space="preserve"> </w:t>
            </w:r>
            <w:r w:rsidRPr="00584929">
              <w:rPr>
                <w:rFonts w:ascii="Times New Roman" w:hAnsi="Times New Roman" w:cs="Times New Roman"/>
              </w:rPr>
              <w:t>określają zasady, warunki i tryb d</w:t>
            </w:r>
            <w:r w:rsidR="00DF6AE1" w:rsidRPr="00584929">
              <w:rPr>
                <w:rFonts w:ascii="Times New Roman" w:hAnsi="Times New Roman" w:cs="Times New Roman"/>
              </w:rPr>
              <w:t>ostępu do danych i informacji o </w:t>
            </w:r>
            <w:r w:rsidRPr="00584929">
              <w:rPr>
                <w:rFonts w:ascii="Times New Roman" w:hAnsi="Times New Roman" w:cs="Times New Roman"/>
              </w:rPr>
              <w:t>pod</w:t>
            </w:r>
            <w:r w:rsidR="00085C57" w:rsidRPr="00584929">
              <w:rPr>
                <w:rFonts w:ascii="Times New Roman" w:hAnsi="Times New Roman" w:cs="Times New Roman"/>
              </w:rPr>
              <w:t xml:space="preserve">miotach wpisanych do Rejestru.  </w:t>
            </w:r>
            <w:r w:rsidRPr="00584929">
              <w:rPr>
                <w:rFonts w:ascii="Times New Roman" w:hAnsi="Times New Roman" w:cs="Times New Roman"/>
              </w:rPr>
              <w:t>Dodatkowo w art. 4b ust. 1 ustawy o Krajowym Rejestrze Sądowym (dodanym przez projekt ustawy) w</w:t>
            </w:r>
            <w:r w:rsidR="00DF6AE1" w:rsidRPr="00584929">
              <w:rPr>
                <w:rFonts w:ascii="Times New Roman" w:hAnsi="Times New Roman" w:cs="Times New Roman"/>
              </w:rPr>
              <w:t>skazano, że dane i informacje o </w:t>
            </w:r>
            <w:r w:rsidRPr="00584929">
              <w:rPr>
                <w:rFonts w:ascii="Times New Roman" w:hAnsi="Times New Roman" w:cs="Times New Roman"/>
              </w:rPr>
              <w:t xml:space="preserve">podmiotach wpisanych do Rejestru są przekazywane </w:t>
            </w:r>
            <w:r w:rsidR="00DF6AE1" w:rsidRPr="00584929">
              <w:rPr>
                <w:rFonts w:ascii="Times New Roman" w:hAnsi="Times New Roman" w:cs="Times New Roman"/>
              </w:rPr>
              <w:t>do ponownego wykorzystywania, z </w:t>
            </w:r>
            <w:r w:rsidRPr="00584929">
              <w:rPr>
                <w:rFonts w:ascii="Times New Roman" w:hAnsi="Times New Roman" w:cs="Times New Roman"/>
              </w:rPr>
              <w:t>zachowan</w:t>
            </w:r>
            <w:r w:rsidR="00DF6AE1" w:rsidRPr="00584929">
              <w:rPr>
                <w:rFonts w:ascii="Times New Roman" w:hAnsi="Times New Roman" w:cs="Times New Roman"/>
              </w:rPr>
              <w:t>iem przepisów ustawy z dnia … o </w:t>
            </w:r>
            <w:r w:rsidR="00085C57" w:rsidRPr="00584929">
              <w:rPr>
                <w:rFonts w:ascii="Times New Roman" w:hAnsi="Times New Roman" w:cs="Times New Roman"/>
              </w:rPr>
              <w:t>otwartych danych i </w:t>
            </w:r>
            <w:r w:rsidRPr="00584929">
              <w:rPr>
                <w:rFonts w:ascii="Times New Roman" w:hAnsi="Times New Roman" w:cs="Times New Roman"/>
              </w:rPr>
              <w:t xml:space="preserve">ponownym wykorzystywaniu informacji sektora publicznego, </w:t>
            </w:r>
            <w:r w:rsidRPr="00B40976">
              <w:rPr>
                <w:rFonts w:ascii="Times New Roman" w:hAnsi="Times New Roman" w:cs="Times New Roman"/>
                <w:u w:val="single"/>
              </w:rPr>
              <w:t xml:space="preserve">jeżeli przepisy </w:t>
            </w:r>
            <w:r w:rsidRPr="00B40976">
              <w:rPr>
                <w:rFonts w:ascii="Times New Roman" w:hAnsi="Times New Roman" w:cs="Times New Roman"/>
                <w:u w:val="single"/>
              </w:rPr>
              <w:lastRenderedPageBreak/>
              <w:t xml:space="preserve">ustawy </w:t>
            </w:r>
            <w:r w:rsidR="00B40976" w:rsidRPr="00B40976">
              <w:rPr>
                <w:rFonts w:ascii="Times New Roman" w:hAnsi="Times New Roman" w:cs="Times New Roman"/>
                <w:u w:val="single"/>
              </w:rPr>
              <w:t>[</w:t>
            </w:r>
            <w:r w:rsidR="00085C57" w:rsidRPr="00B40976">
              <w:rPr>
                <w:rFonts w:ascii="Times New Roman" w:hAnsi="Times New Roman" w:cs="Times New Roman"/>
                <w:u w:val="single"/>
              </w:rPr>
              <w:t>ustawy o </w:t>
            </w:r>
            <w:r w:rsidR="00B40976" w:rsidRPr="00B40976">
              <w:rPr>
                <w:rFonts w:ascii="Times New Roman" w:hAnsi="Times New Roman" w:cs="Times New Roman"/>
                <w:u w:val="single"/>
              </w:rPr>
              <w:t>Krajowym rejestrze Sądowym]</w:t>
            </w:r>
            <w:r w:rsidR="00DF6AE1" w:rsidRPr="00B40976">
              <w:rPr>
                <w:rFonts w:ascii="Times New Roman" w:hAnsi="Times New Roman" w:cs="Times New Roman"/>
                <w:u w:val="single"/>
              </w:rPr>
              <w:t xml:space="preserve"> </w:t>
            </w:r>
            <w:r w:rsidRPr="00B40976">
              <w:rPr>
                <w:rFonts w:ascii="Times New Roman" w:hAnsi="Times New Roman" w:cs="Times New Roman"/>
                <w:u w:val="single"/>
              </w:rPr>
              <w:t>nie stanowią inaczej.</w:t>
            </w:r>
          </w:p>
          <w:p w14:paraId="02DC8C30" w14:textId="04F43EE4" w:rsidR="00085C57" w:rsidRPr="00584929" w:rsidRDefault="0059749A" w:rsidP="00085C57">
            <w:pPr>
              <w:jc w:val="both"/>
              <w:rPr>
                <w:rFonts w:ascii="Times New Roman" w:hAnsi="Times New Roman" w:cs="Times New Roman"/>
              </w:rPr>
            </w:pPr>
            <w:r w:rsidRPr="00584929">
              <w:rPr>
                <w:rFonts w:ascii="Times New Roman" w:hAnsi="Times New Roman" w:cs="Times New Roman"/>
              </w:rPr>
              <w:t xml:space="preserve">Jeżeli </w:t>
            </w:r>
            <w:r w:rsidR="00085C57" w:rsidRPr="00584929">
              <w:rPr>
                <w:rFonts w:ascii="Times New Roman" w:hAnsi="Times New Roman" w:cs="Times New Roman"/>
              </w:rPr>
              <w:t xml:space="preserve">zatem </w:t>
            </w:r>
            <w:r w:rsidRPr="00584929">
              <w:rPr>
                <w:rFonts w:ascii="Times New Roman" w:hAnsi="Times New Roman" w:cs="Times New Roman"/>
              </w:rPr>
              <w:t xml:space="preserve">ustawa o </w:t>
            </w:r>
            <w:r w:rsidR="004A57FF" w:rsidRPr="00584929">
              <w:rPr>
                <w:rFonts w:ascii="Times New Roman" w:hAnsi="Times New Roman" w:cs="Times New Roman"/>
              </w:rPr>
              <w:t>Krajowym Rejestrze Sądowym (jako ustawa szczególna</w:t>
            </w:r>
            <w:r w:rsidRPr="00584929">
              <w:rPr>
                <w:rFonts w:ascii="Times New Roman" w:hAnsi="Times New Roman" w:cs="Times New Roman"/>
              </w:rPr>
              <w:t>) wprowadz</w:t>
            </w:r>
            <w:r w:rsidR="00085C57" w:rsidRPr="00584929">
              <w:rPr>
                <w:rFonts w:ascii="Times New Roman" w:hAnsi="Times New Roman" w:cs="Times New Roman"/>
              </w:rPr>
              <w:t xml:space="preserve">ać będzie </w:t>
            </w:r>
            <w:r w:rsidRPr="00584929">
              <w:rPr>
                <w:rFonts w:ascii="Times New Roman" w:hAnsi="Times New Roman" w:cs="Times New Roman"/>
              </w:rPr>
              <w:t>inne/odmienne zasady dot. dostępu do informacji, regulacje takie będą znajdować pierwszeństwo przed przepisami projektowanej ustawy</w:t>
            </w:r>
            <w:r w:rsidR="00085C57" w:rsidRPr="00584929">
              <w:rPr>
                <w:rFonts w:ascii="Times New Roman" w:hAnsi="Times New Roman" w:cs="Times New Roman"/>
              </w:rPr>
              <w:t>.</w:t>
            </w:r>
          </w:p>
          <w:p w14:paraId="54EAAA3D" w14:textId="77777777" w:rsidR="0024601A" w:rsidRPr="00584929" w:rsidRDefault="0059749A" w:rsidP="00085C57">
            <w:pPr>
              <w:jc w:val="both"/>
              <w:rPr>
                <w:rFonts w:ascii="Times New Roman" w:hAnsi="Times New Roman" w:cs="Times New Roman"/>
              </w:rPr>
            </w:pPr>
            <w:r w:rsidRPr="00584929">
              <w:rPr>
                <w:rFonts w:ascii="Times New Roman" w:hAnsi="Times New Roman" w:cs="Times New Roman"/>
              </w:rPr>
              <w:t>Mając powyższe na uwadze postulowana zmiana dotycząca wprowadzenia do przepisów projektowanej ustawy regulacji, która „w sposób wyraźny i nie budzący wątpliwości określi wyłączne kompetencje ustaw szczególnych do zawarcia w ich treści przepisów o ponownym wykorzystaniu informacji” nie jest konieczna. Takie przepisy zostały w projekcie ustawy zawarte. Jest to art. 7 ust. 1 oraz powiązany z nim art. 6 ust. 3, który stanowi dodatkowo przesłankę do wydania decyzji o</w:t>
            </w:r>
            <w:r w:rsidR="0098007B" w:rsidRPr="00584929">
              <w:rPr>
                <w:rFonts w:ascii="Times New Roman" w:hAnsi="Times New Roman" w:cs="Times New Roman"/>
              </w:rPr>
              <w:t> </w:t>
            </w:r>
            <w:r w:rsidRPr="00584929">
              <w:rPr>
                <w:rFonts w:ascii="Times New Roman" w:hAnsi="Times New Roman" w:cs="Times New Roman"/>
              </w:rPr>
              <w:t>odmowie przekazania ISP do ponownego wykorzystywania.</w:t>
            </w:r>
          </w:p>
          <w:p w14:paraId="36B8FEF7" w14:textId="295591B9" w:rsidR="00674AD3" w:rsidRPr="00584929" w:rsidRDefault="00674AD3" w:rsidP="00674AD3">
            <w:pPr>
              <w:jc w:val="both"/>
              <w:rPr>
                <w:rFonts w:ascii="Times New Roman" w:hAnsi="Times New Roman" w:cs="Times New Roman"/>
              </w:rPr>
            </w:pPr>
            <w:r w:rsidRPr="00584929">
              <w:rPr>
                <w:rFonts w:ascii="Times New Roman" w:hAnsi="Times New Roman" w:cs="Times New Roman"/>
              </w:rPr>
              <w:t>Dodatkowo na podstawie art. 4 ust. 3 projektu ustawy przepisów ustawy nie stosuje się do ISP, których udostępnianie lub przekazanie zostało uzależnione od wykazania przez użytkowników interesu prawnego lub faktycznego na podstawie odrębnych przepisów.</w:t>
            </w:r>
          </w:p>
        </w:tc>
      </w:tr>
      <w:tr w:rsidR="00893992" w:rsidRPr="00584929" w14:paraId="09311D1C" w14:textId="77777777" w:rsidTr="00D94ED7">
        <w:tc>
          <w:tcPr>
            <w:tcW w:w="676" w:type="dxa"/>
            <w:shd w:val="clear" w:color="auto" w:fill="auto"/>
          </w:tcPr>
          <w:p w14:paraId="6C30C950" w14:textId="6F0FE151" w:rsidR="00893992" w:rsidRPr="00584929" w:rsidRDefault="00893992" w:rsidP="004A29FC">
            <w:pPr>
              <w:pStyle w:val="Akapitzlist"/>
              <w:numPr>
                <w:ilvl w:val="0"/>
                <w:numId w:val="20"/>
              </w:numPr>
              <w:rPr>
                <w:sz w:val="22"/>
                <w:szCs w:val="22"/>
              </w:rPr>
            </w:pPr>
          </w:p>
        </w:tc>
        <w:tc>
          <w:tcPr>
            <w:tcW w:w="1968" w:type="dxa"/>
            <w:shd w:val="clear" w:color="auto" w:fill="auto"/>
          </w:tcPr>
          <w:p w14:paraId="09C9D45E" w14:textId="5236C0E6" w:rsidR="005137BC" w:rsidRPr="00584929" w:rsidRDefault="005137BC" w:rsidP="004A29FC">
            <w:pPr>
              <w:rPr>
                <w:rFonts w:ascii="Times New Roman" w:hAnsi="Times New Roman" w:cs="Times New Roman"/>
              </w:rPr>
            </w:pPr>
            <w:r w:rsidRPr="00584929">
              <w:rPr>
                <w:rFonts w:ascii="Times New Roman" w:hAnsi="Times New Roman" w:cs="Times New Roman"/>
              </w:rPr>
              <w:t>Ministerstwo Kultury</w:t>
            </w:r>
            <w:r w:rsidR="003863AF" w:rsidRPr="00584929">
              <w:rPr>
                <w:rFonts w:ascii="Times New Roman" w:hAnsi="Times New Roman" w:cs="Times New Roman"/>
              </w:rPr>
              <w:t xml:space="preserve"> i Dziedzictwa Narodowego</w:t>
            </w:r>
          </w:p>
          <w:p w14:paraId="26A7E3C5" w14:textId="77777777" w:rsidR="00893992" w:rsidRPr="00584929" w:rsidRDefault="00893992" w:rsidP="004A29FC">
            <w:pPr>
              <w:rPr>
                <w:rFonts w:ascii="Times New Roman" w:hAnsi="Times New Roman" w:cs="Times New Roman"/>
              </w:rPr>
            </w:pPr>
          </w:p>
        </w:tc>
        <w:tc>
          <w:tcPr>
            <w:tcW w:w="1526" w:type="dxa"/>
            <w:shd w:val="clear" w:color="auto" w:fill="auto"/>
          </w:tcPr>
          <w:p w14:paraId="11D9D104" w14:textId="4DB3A223" w:rsidR="00893992" w:rsidRPr="00584929" w:rsidRDefault="005137BC" w:rsidP="004A29FC">
            <w:pPr>
              <w:rPr>
                <w:rFonts w:ascii="Times New Roman" w:hAnsi="Times New Roman" w:cs="Times New Roman"/>
              </w:rPr>
            </w:pPr>
            <w:r w:rsidRPr="00584929">
              <w:rPr>
                <w:rFonts w:ascii="Times New Roman" w:hAnsi="Times New Roman" w:cs="Times New Roman"/>
              </w:rPr>
              <w:t>Art. 6 ust. 3</w:t>
            </w:r>
          </w:p>
        </w:tc>
        <w:tc>
          <w:tcPr>
            <w:tcW w:w="5323" w:type="dxa"/>
            <w:shd w:val="clear" w:color="auto" w:fill="auto"/>
          </w:tcPr>
          <w:p w14:paraId="2BFDDD0F" w14:textId="6C553913" w:rsidR="005137BC" w:rsidRPr="00584929" w:rsidRDefault="005137BC" w:rsidP="00915366">
            <w:pPr>
              <w:jc w:val="both"/>
              <w:rPr>
                <w:rFonts w:ascii="Times New Roman" w:hAnsi="Times New Roman" w:cs="Times New Roman"/>
              </w:rPr>
            </w:pPr>
            <w:r w:rsidRPr="00584929">
              <w:rPr>
                <w:rFonts w:ascii="Times New Roman" w:hAnsi="Times New Roman" w:cs="Times New Roman"/>
              </w:rPr>
              <w:t>Wątpliwości dotyczą tego, czy art. 30a ustawy o muzeach wprowadzony poprzednią ustawą re-use, pozwalający na ograniczenie dostępu do informacji służących do zapewniania bezpieczeństwa muzealiom, czy też jest podstawą do odmowy wyrażenia zgody na ponowne wykorzystanie. Obecny projekt ustawy tego nie doprecyzowuje. (patrz ekspertyza str. 163 „Kolizja z Ustawą o muzeach”)</w:t>
            </w:r>
            <w:r w:rsidR="00A57AB5" w:rsidRPr="00584929">
              <w:rPr>
                <w:rFonts w:ascii="Times New Roman" w:hAnsi="Times New Roman" w:cs="Times New Roman"/>
              </w:rPr>
              <w:t>.</w:t>
            </w:r>
          </w:p>
          <w:p w14:paraId="6C342EC3" w14:textId="2B5DED39" w:rsidR="00A57AB5" w:rsidRPr="00584929" w:rsidRDefault="005137BC" w:rsidP="00915366">
            <w:pPr>
              <w:jc w:val="both"/>
              <w:rPr>
                <w:rFonts w:ascii="Times New Roman" w:hAnsi="Times New Roman" w:cs="Times New Roman"/>
              </w:rPr>
            </w:pPr>
            <w:r w:rsidRPr="00584929">
              <w:rPr>
                <w:rFonts w:ascii="Times New Roman" w:hAnsi="Times New Roman" w:cs="Times New Roman"/>
              </w:rPr>
              <w:lastRenderedPageBreak/>
              <w:t>Ponadto nie jest jasne, czy art. 2 ust. 8 ustawy o muzeach nie należy traktować jako lex specialis w tej kwestii wyłączający udostępnienie zbiorów w celach innych niż edukacyjne i naukowe. (patrz ekspertyza str. 161).</w:t>
            </w:r>
          </w:p>
        </w:tc>
        <w:tc>
          <w:tcPr>
            <w:tcW w:w="4785" w:type="dxa"/>
            <w:shd w:val="clear" w:color="auto" w:fill="auto"/>
          </w:tcPr>
          <w:p w14:paraId="474FA7DE" w14:textId="6CA2C637" w:rsidR="005137BC" w:rsidRPr="00584929" w:rsidRDefault="005137BC" w:rsidP="004A29FC">
            <w:pPr>
              <w:rPr>
                <w:rFonts w:ascii="Times New Roman" w:hAnsi="Times New Roman" w:cs="Times New Roman"/>
                <w:b/>
              </w:rPr>
            </w:pPr>
            <w:r w:rsidRPr="00584929">
              <w:rPr>
                <w:rFonts w:ascii="Times New Roman" w:hAnsi="Times New Roman" w:cs="Times New Roman"/>
                <w:b/>
              </w:rPr>
              <w:lastRenderedPageBreak/>
              <w:t xml:space="preserve">Uwaga </w:t>
            </w:r>
            <w:r w:rsidR="0098007B" w:rsidRPr="00584929">
              <w:rPr>
                <w:rFonts w:ascii="Times New Roman" w:hAnsi="Times New Roman" w:cs="Times New Roman"/>
                <w:b/>
              </w:rPr>
              <w:t xml:space="preserve">wyjaśniona </w:t>
            </w:r>
          </w:p>
          <w:p w14:paraId="002EC559" w14:textId="5B4385B5" w:rsidR="00893992" w:rsidRPr="00584929" w:rsidRDefault="0098007B" w:rsidP="0098007B">
            <w:pPr>
              <w:jc w:val="both"/>
              <w:rPr>
                <w:rFonts w:ascii="Times New Roman" w:hAnsi="Times New Roman" w:cs="Times New Roman"/>
              </w:rPr>
            </w:pPr>
            <w:r w:rsidRPr="00584929">
              <w:rPr>
                <w:rFonts w:ascii="Times New Roman" w:hAnsi="Times New Roman" w:cs="Times New Roman"/>
              </w:rPr>
              <w:t xml:space="preserve">1. Art. 30a ustawy z dnia 21 listopada 1996 r. o muzeach (Dz. U. z 2020 r. poz. 902). </w:t>
            </w:r>
          </w:p>
          <w:p w14:paraId="58745A3F" w14:textId="77777777" w:rsidR="0098007B" w:rsidRPr="00584929" w:rsidRDefault="0098007B" w:rsidP="00B3096F">
            <w:pPr>
              <w:jc w:val="both"/>
              <w:rPr>
                <w:rFonts w:ascii="Times New Roman" w:hAnsi="Times New Roman" w:cs="Times New Roman"/>
              </w:rPr>
            </w:pPr>
            <w:r w:rsidRPr="00584929">
              <w:rPr>
                <w:rFonts w:ascii="Times New Roman" w:hAnsi="Times New Roman" w:cs="Times New Roman"/>
              </w:rPr>
              <w:t xml:space="preserve">Art. 30a ustawy o muzeach ogranicza dostęp do określonych rodzajów informacji </w:t>
            </w:r>
            <w:r w:rsidR="00B3096F" w:rsidRPr="00584929">
              <w:rPr>
                <w:rFonts w:ascii="Times New Roman" w:hAnsi="Times New Roman" w:cs="Times New Roman"/>
              </w:rPr>
              <w:t xml:space="preserve">służących do zapewniania bezpieczeństwa muzealiom </w:t>
            </w:r>
            <w:r w:rsidRPr="00584929">
              <w:rPr>
                <w:rFonts w:ascii="Times New Roman" w:hAnsi="Times New Roman" w:cs="Times New Roman"/>
              </w:rPr>
              <w:t>i w związku z tym ograniczeniu podlegać będzie również prawo do ponownego wykorzystywani</w:t>
            </w:r>
            <w:r w:rsidR="00B3096F" w:rsidRPr="00584929">
              <w:rPr>
                <w:rFonts w:ascii="Times New Roman" w:hAnsi="Times New Roman" w:cs="Times New Roman"/>
              </w:rPr>
              <w:t xml:space="preserve">a ISP (art. 6 ust. 3 projektu). </w:t>
            </w:r>
            <w:r w:rsidRPr="00584929">
              <w:rPr>
                <w:rFonts w:ascii="Times New Roman" w:hAnsi="Times New Roman" w:cs="Times New Roman"/>
              </w:rPr>
              <w:t>Wskazane ograniczenie</w:t>
            </w:r>
            <w:r w:rsidR="00B3096F" w:rsidRPr="00584929">
              <w:rPr>
                <w:rFonts w:ascii="Times New Roman" w:hAnsi="Times New Roman" w:cs="Times New Roman"/>
              </w:rPr>
              <w:t xml:space="preserve"> </w:t>
            </w:r>
            <w:r w:rsidRPr="00584929">
              <w:rPr>
                <w:rFonts w:ascii="Times New Roman" w:hAnsi="Times New Roman" w:cs="Times New Roman"/>
              </w:rPr>
              <w:t xml:space="preserve"> </w:t>
            </w:r>
            <w:r w:rsidR="00B3096F" w:rsidRPr="00584929">
              <w:rPr>
                <w:rFonts w:ascii="Times New Roman" w:hAnsi="Times New Roman" w:cs="Times New Roman"/>
              </w:rPr>
              <w:lastRenderedPageBreak/>
              <w:t>stanowić będzie</w:t>
            </w:r>
            <w:r w:rsidRPr="00584929">
              <w:rPr>
                <w:rFonts w:ascii="Times New Roman" w:hAnsi="Times New Roman" w:cs="Times New Roman"/>
              </w:rPr>
              <w:t xml:space="preserve"> podstaw</w:t>
            </w:r>
            <w:r w:rsidR="00B3096F" w:rsidRPr="00584929">
              <w:rPr>
                <w:rFonts w:ascii="Times New Roman" w:hAnsi="Times New Roman" w:cs="Times New Roman"/>
              </w:rPr>
              <w:t>ę</w:t>
            </w:r>
            <w:r w:rsidRPr="00584929">
              <w:rPr>
                <w:rFonts w:ascii="Times New Roman" w:hAnsi="Times New Roman" w:cs="Times New Roman"/>
              </w:rPr>
              <w:t xml:space="preserve"> do odmowy przekazania ISP </w:t>
            </w:r>
            <w:r w:rsidR="00B3096F" w:rsidRPr="00584929">
              <w:rPr>
                <w:rFonts w:ascii="Times New Roman" w:hAnsi="Times New Roman" w:cs="Times New Roman"/>
              </w:rPr>
              <w:t>na wniosek.</w:t>
            </w:r>
          </w:p>
          <w:p w14:paraId="053ED942" w14:textId="5B8FEA2D" w:rsidR="00B3096F" w:rsidRPr="00584929" w:rsidRDefault="00B3096F" w:rsidP="00B3096F">
            <w:pPr>
              <w:jc w:val="both"/>
              <w:rPr>
                <w:rFonts w:ascii="Times New Roman" w:hAnsi="Times New Roman" w:cs="Times New Roman"/>
              </w:rPr>
            </w:pPr>
            <w:r w:rsidRPr="00584929">
              <w:rPr>
                <w:rFonts w:ascii="Times New Roman" w:hAnsi="Times New Roman" w:cs="Times New Roman"/>
              </w:rPr>
              <w:t xml:space="preserve">2. Art. 2 ust. 8 ustawy o muzeach. </w:t>
            </w:r>
          </w:p>
          <w:p w14:paraId="28F2E467" w14:textId="14AFEA29" w:rsidR="00B3096F" w:rsidRPr="00584929" w:rsidRDefault="00B3096F" w:rsidP="00FE6861">
            <w:pPr>
              <w:jc w:val="both"/>
              <w:rPr>
                <w:rFonts w:ascii="Times New Roman" w:hAnsi="Times New Roman" w:cs="Times New Roman"/>
              </w:rPr>
            </w:pPr>
            <w:r w:rsidRPr="00584929">
              <w:rPr>
                <w:rFonts w:ascii="Times New Roman" w:hAnsi="Times New Roman" w:cs="Times New Roman"/>
              </w:rPr>
              <w:t>Przepis art. 2 ust. 8 dotyczy zbiorów muzealnych, przedmiotem ponownego wykorzystywania co do zasady nie będzie obiekt muzealny a jego digitalizat, metadane etc</w:t>
            </w:r>
            <w:r w:rsidR="00FE6861" w:rsidRPr="00584929">
              <w:rPr>
                <w:rFonts w:ascii="Times New Roman" w:hAnsi="Times New Roman" w:cs="Times New Roman"/>
              </w:rPr>
              <w:t>. Ponadto należy również podkreślić, że zgodnie z art. 2 pkt 8 ustawy o muzeach muzeum realizuje cele określone w art. 1 tej ustawy, w szczególności przez udostępnianie zbiorów do celów edukacyjnych i naukowych. Zwrot „w szczególności” zastosowany w art. 2 ustawy o muzeach wskazuje, że nie są to jedyne zadania, które realizuje muzeum, a przykładowy katalog. Udostępnianie zbiorów do celów edukacyjnych i naukowych nie wyłącza tym samym możliwości udostępniania lub przekazywania przez muzeum ISP do innych celów. Przy czym należy ponowić zastrzeżenie, że przedmiotem ponownego wykorzystywania co do zasady nie będzie sam obiekt muzealny</w:t>
            </w:r>
            <w:r w:rsidR="005D45F6" w:rsidRPr="00584929">
              <w:rPr>
                <w:rFonts w:ascii="Times New Roman" w:hAnsi="Times New Roman" w:cs="Times New Roman"/>
              </w:rPr>
              <w:t>, a np. jego digitalizat</w:t>
            </w:r>
            <w:r w:rsidR="00FE6861" w:rsidRPr="00584929">
              <w:rPr>
                <w:rFonts w:ascii="Times New Roman" w:hAnsi="Times New Roman" w:cs="Times New Roman"/>
              </w:rPr>
              <w:t xml:space="preserve">.   </w:t>
            </w:r>
          </w:p>
        </w:tc>
      </w:tr>
      <w:tr w:rsidR="009311E1" w:rsidRPr="00584929" w14:paraId="2FAED6F7" w14:textId="77777777" w:rsidTr="00D94ED7">
        <w:tc>
          <w:tcPr>
            <w:tcW w:w="676" w:type="dxa"/>
            <w:shd w:val="clear" w:color="auto" w:fill="auto"/>
          </w:tcPr>
          <w:p w14:paraId="60B06743" w14:textId="0466CD81" w:rsidR="009311E1" w:rsidRPr="00584929" w:rsidRDefault="009311E1" w:rsidP="004A29FC">
            <w:pPr>
              <w:pStyle w:val="Akapitzlist"/>
              <w:numPr>
                <w:ilvl w:val="0"/>
                <w:numId w:val="20"/>
              </w:numPr>
              <w:rPr>
                <w:sz w:val="22"/>
                <w:szCs w:val="22"/>
              </w:rPr>
            </w:pPr>
          </w:p>
        </w:tc>
        <w:tc>
          <w:tcPr>
            <w:tcW w:w="1968" w:type="dxa"/>
            <w:shd w:val="clear" w:color="auto" w:fill="auto"/>
          </w:tcPr>
          <w:p w14:paraId="6A7652C6" w14:textId="1FF6AC43" w:rsidR="009311E1" w:rsidRPr="00584929" w:rsidRDefault="009311E1"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5852632D" w14:textId="647D67A4" w:rsidR="009311E1" w:rsidRPr="00584929" w:rsidRDefault="009311E1" w:rsidP="004A29FC">
            <w:pPr>
              <w:rPr>
                <w:rFonts w:ascii="Times New Roman" w:hAnsi="Times New Roman" w:cs="Times New Roman"/>
              </w:rPr>
            </w:pPr>
            <w:r w:rsidRPr="00584929">
              <w:rPr>
                <w:rFonts w:ascii="Times New Roman" w:hAnsi="Times New Roman" w:cs="Times New Roman"/>
              </w:rPr>
              <w:t>Art. 7</w:t>
            </w:r>
          </w:p>
        </w:tc>
        <w:tc>
          <w:tcPr>
            <w:tcW w:w="5323" w:type="dxa"/>
            <w:shd w:val="clear" w:color="auto" w:fill="auto"/>
          </w:tcPr>
          <w:p w14:paraId="6BB388BE" w14:textId="23786B0A" w:rsidR="009311E1" w:rsidRPr="00584929" w:rsidRDefault="009311E1" w:rsidP="00915366">
            <w:pPr>
              <w:jc w:val="both"/>
              <w:rPr>
                <w:rFonts w:ascii="Times New Roman" w:hAnsi="Times New Roman" w:cs="Times New Roman"/>
              </w:rPr>
            </w:pPr>
            <w:r w:rsidRPr="00584929">
              <w:rPr>
                <w:rFonts w:ascii="Times New Roman" w:hAnsi="Times New Roman" w:cs="Times New Roman"/>
              </w:rPr>
              <w:t>W zakresie art. 7 pr</w:t>
            </w:r>
            <w:r w:rsidR="007C79EA" w:rsidRPr="00584929">
              <w:rPr>
                <w:rFonts w:ascii="Times New Roman" w:hAnsi="Times New Roman" w:cs="Times New Roman"/>
              </w:rPr>
              <w:t>ojektu ustawy  –  wyjaśnienia w </w:t>
            </w:r>
            <w:r w:rsidRPr="00584929">
              <w:rPr>
                <w:rFonts w:ascii="Times New Roman" w:hAnsi="Times New Roman" w:cs="Times New Roman"/>
              </w:rPr>
              <w:t>uzasadnieniu wym</w:t>
            </w:r>
            <w:r w:rsidR="007C79EA" w:rsidRPr="00584929">
              <w:rPr>
                <w:rFonts w:ascii="Times New Roman" w:hAnsi="Times New Roman" w:cs="Times New Roman"/>
              </w:rPr>
              <w:t>aga, że zachodzą okoliczności o </w:t>
            </w:r>
            <w:r w:rsidRPr="00584929">
              <w:rPr>
                <w:rFonts w:ascii="Times New Roman" w:hAnsi="Times New Roman" w:cs="Times New Roman"/>
              </w:rPr>
              <w:t>których mowa w art. 13 i 14 rozporządz</w:t>
            </w:r>
            <w:r w:rsidR="00915366" w:rsidRPr="00584929">
              <w:rPr>
                <w:rFonts w:ascii="Times New Roman" w:hAnsi="Times New Roman" w:cs="Times New Roman"/>
              </w:rPr>
              <w:t>enia Parlamentu Europejskiego i </w:t>
            </w:r>
            <w:r w:rsidRPr="00584929">
              <w:rPr>
                <w:rFonts w:ascii="Times New Roman" w:hAnsi="Times New Roman" w:cs="Times New Roman"/>
              </w:rPr>
              <w:t>Rady (UE) 2016/679 z dnia 27 kwietnia 2016 r. w sprawie ochrony osób fi</w:t>
            </w:r>
            <w:r w:rsidR="00C37879" w:rsidRPr="00584929">
              <w:rPr>
                <w:rFonts w:ascii="Times New Roman" w:hAnsi="Times New Roman" w:cs="Times New Roman"/>
              </w:rPr>
              <w:t>zycznych w związku z </w:t>
            </w:r>
            <w:r w:rsidRPr="00584929">
              <w:rPr>
                <w:rFonts w:ascii="Times New Roman" w:hAnsi="Times New Roman" w:cs="Times New Roman"/>
              </w:rPr>
              <w:t>przetwarzaniem danych osobowych i w sprawie swobodnego przepływu takich danych oraz uchylenia dyrektywy 95/46/WE (ogólne rozporządzenie o ochronie danych) (Dz. Urz. U</w:t>
            </w:r>
            <w:r w:rsidR="00C37879" w:rsidRPr="00584929">
              <w:rPr>
                <w:rFonts w:ascii="Times New Roman" w:hAnsi="Times New Roman" w:cs="Times New Roman"/>
              </w:rPr>
              <w:t>E L 119 z 04.05.2016, str. 1, z </w:t>
            </w:r>
            <w:r w:rsidRPr="00584929">
              <w:rPr>
                <w:rFonts w:ascii="Times New Roman" w:hAnsi="Times New Roman" w:cs="Times New Roman"/>
              </w:rPr>
              <w:t>późn.zm.), zwanego dalej „RODO”, które uzasadniają wyłączenie stosowania tych przepisów na mocy art. 7 ust 3 i 4 ustawy. Ponadto w kontekście obowiązków wynikających z art. 19 rozporządzenia RODO – nie jest zrozumiałe w jaki sposób „zaktualizowanie danyc</w:t>
            </w:r>
            <w:r w:rsidR="00915366" w:rsidRPr="00584929">
              <w:rPr>
                <w:rFonts w:ascii="Times New Roman" w:hAnsi="Times New Roman" w:cs="Times New Roman"/>
              </w:rPr>
              <w:t xml:space="preserve">h na </w:t>
            </w:r>
            <w:r w:rsidR="00915366" w:rsidRPr="00584929">
              <w:rPr>
                <w:rFonts w:ascii="Times New Roman" w:hAnsi="Times New Roman" w:cs="Times New Roman"/>
              </w:rPr>
              <w:lastRenderedPageBreak/>
              <w:t>stronie podmiotowej BIP, w </w:t>
            </w:r>
            <w:r w:rsidRPr="00584929">
              <w:rPr>
                <w:rFonts w:ascii="Times New Roman" w:hAnsi="Times New Roman" w:cs="Times New Roman"/>
              </w:rPr>
              <w:t>portalu otwartych danych lub w inny sposób” spowoduje zrealizowanie przez administratora tych danych obowiązków opisanych w art. 19 RODO tj. poinformowania o usunięciu lub sprostowaniu danych osobowych, przepis wymaga zatem uzupełnienia.</w:t>
            </w:r>
          </w:p>
        </w:tc>
        <w:tc>
          <w:tcPr>
            <w:tcW w:w="4785" w:type="dxa"/>
            <w:shd w:val="clear" w:color="auto" w:fill="auto"/>
          </w:tcPr>
          <w:p w14:paraId="35CAAC11" w14:textId="77777777" w:rsidR="009311E1" w:rsidRPr="00584929" w:rsidRDefault="007C79EA" w:rsidP="004A29FC">
            <w:pPr>
              <w:rPr>
                <w:rFonts w:ascii="Times New Roman" w:hAnsi="Times New Roman" w:cs="Times New Roman"/>
                <w:b/>
              </w:rPr>
            </w:pPr>
            <w:r w:rsidRPr="00584929">
              <w:rPr>
                <w:rFonts w:ascii="Times New Roman" w:hAnsi="Times New Roman" w:cs="Times New Roman"/>
                <w:b/>
              </w:rPr>
              <w:lastRenderedPageBreak/>
              <w:t xml:space="preserve">Wyjaśnienie </w:t>
            </w:r>
          </w:p>
          <w:p w14:paraId="73D80A8F" w14:textId="7E3B0BC8" w:rsidR="007C79EA" w:rsidRPr="00584929" w:rsidRDefault="007C79EA" w:rsidP="00C37879">
            <w:pPr>
              <w:jc w:val="both"/>
              <w:rPr>
                <w:rFonts w:ascii="Times New Roman" w:hAnsi="Times New Roman" w:cs="Times New Roman"/>
              </w:rPr>
            </w:pPr>
            <w:r w:rsidRPr="00584929">
              <w:rPr>
                <w:rFonts w:ascii="Times New Roman" w:hAnsi="Times New Roman" w:cs="Times New Roman"/>
              </w:rPr>
              <w:t xml:space="preserve">1. Art. 7 ust. 4 i 5 – </w:t>
            </w:r>
            <w:r w:rsidR="00C37879" w:rsidRPr="00584929">
              <w:rPr>
                <w:rFonts w:ascii="Times New Roman" w:hAnsi="Times New Roman" w:cs="Times New Roman"/>
              </w:rPr>
              <w:t>przepisy zostaną usunięte z projektu</w:t>
            </w:r>
            <w:r w:rsidRPr="00584929">
              <w:rPr>
                <w:rFonts w:ascii="Times New Roman" w:hAnsi="Times New Roman" w:cs="Times New Roman"/>
              </w:rPr>
              <w:t xml:space="preserve">. </w:t>
            </w:r>
          </w:p>
          <w:p w14:paraId="7DF00E38" w14:textId="77777777" w:rsidR="007C79EA" w:rsidRPr="00584929" w:rsidRDefault="007C79EA" w:rsidP="007C79EA">
            <w:pPr>
              <w:jc w:val="both"/>
              <w:rPr>
                <w:rFonts w:ascii="Times New Roman" w:hAnsi="Times New Roman" w:cs="Times New Roman"/>
              </w:rPr>
            </w:pPr>
          </w:p>
          <w:p w14:paraId="7D5E6A49" w14:textId="457F1BC9" w:rsidR="007C79EA" w:rsidRPr="00584929" w:rsidRDefault="007C79EA" w:rsidP="007C79EA">
            <w:pPr>
              <w:jc w:val="both"/>
              <w:rPr>
                <w:rFonts w:ascii="Times New Roman" w:hAnsi="Times New Roman" w:cs="Times New Roman"/>
              </w:rPr>
            </w:pPr>
            <w:r w:rsidRPr="00584929">
              <w:rPr>
                <w:rFonts w:ascii="Times New Roman" w:hAnsi="Times New Roman" w:cs="Times New Roman"/>
              </w:rPr>
              <w:t xml:space="preserve">2. Art. 7 ust. 3 – </w:t>
            </w:r>
            <w:r w:rsidR="00C37879" w:rsidRPr="00584929">
              <w:rPr>
                <w:rFonts w:ascii="Times New Roman" w:hAnsi="Times New Roman" w:cs="Times New Roman"/>
              </w:rPr>
              <w:t>wyjaśnienie</w:t>
            </w:r>
            <w:r w:rsidRPr="00584929">
              <w:rPr>
                <w:rFonts w:ascii="Times New Roman" w:hAnsi="Times New Roman" w:cs="Times New Roman"/>
              </w:rPr>
              <w:t xml:space="preserve">. </w:t>
            </w:r>
          </w:p>
          <w:p w14:paraId="6191C13B" w14:textId="5DAF1D7F" w:rsidR="007C79EA" w:rsidRPr="00584929" w:rsidRDefault="007C79EA" w:rsidP="00C37879">
            <w:pPr>
              <w:jc w:val="both"/>
              <w:rPr>
                <w:rFonts w:ascii="Times New Roman" w:hAnsi="Times New Roman" w:cs="Times New Roman"/>
                <w:bCs/>
              </w:rPr>
            </w:pPr>
            <w:r w:rsidRPr="00584929">
              <w:rPr>
                <w:rFonts w:ascii="Times New Roman" w:hAnsi="Times New Roman" w:cs="Times New Roman"/>
                <w:bCs/>
              </w:rPr>
              <w:t xml:space="preserve">Podmiot zobowiązany zbierając dane osobowe do określonych celów nie jest w stanie antycypować, że przedmiotowe dane potencjalnie w przyszłości mogą być objęte wnioskiem o ponowne wykorzystywanie informacji sektora publicznego. Nie ulega wątpliwości, że dane osobowe mogą zostać przekazane lub udostępniane do ponownego wykorzystywania, o ile istnieje podstawa prawna wymieniona w art. 6 ust. 1 RODO. Należy zauważyć </w:t>
            </w:r>
            <w:r w:rsidRPr="00584929">
              <w:rPr>
                <w:rFonts w:ascii="Times New Roman" w:hAnsi="Times New Roman" w:cs="Times New Roman"/>
                <w:bCs/>
              </w:rPr>
              <w:lastRenderedPageBreak/>
              <w:t>jednocześnie, że samo działanie na danych osobowych objętych wnioskiem, które ostatecznie nie stanowić będzie samego przekazania lub udostępniania danych do ponownego wykorzystywania, np. polegające w szczególności na anonimizacji danych (depersonalizacji informacji sektora publicznego w części w jakiej zawiera dane osobowe) i w konsekwencji przekazanie do ponownego wykorzystywania jedynie zanonimizowanej informacji sektora publicznego, może zostać uznane za operację przetwarzania danych osobowych. Wówczas w świetle art. 13 ust. 3 RODO pojawia się wątpliwość, czy podmiot zobowiązany przetwarzający dane osobowe w ramach realizacji ustawowo nałożonych na niego obowiązków (realizacja przepisów o ponownym wykorzystywaniu) będzie zobligowany wypełnić przedmiotowy obowiązek informacyjny. Po drugie pojawia się zagadnienie praktycznych możliwości realizacji art. 13 ust. 3 RODO przez podmiot zobowiązany, w szczególności, gdy przedmiotem wniosku o ponowne wykorzystywanie nie są pojedyncze dane, a np. baza danych i podmiot zobowiązany nie dysponuje informacjami pozwalającymi na efektywną realizację obowiązku informacyjnego, nawet w sytuacji, gdy ostatecznym sposobem załatwienia wniosku nie jest przekazanie danych osobowych.</w:t>
            </w:r>
          </w:p>
        </w:tc>
      </w:tr>
      <w:tr w:rsidR="009B2CC8" w:rsidRPr="00584929" w14:paraId="6D4C06F9" w14:textId="77777777" w:rsidTr="00D94ED7">
        <w:tc>
          <w:tcPr>
            <w:tcW w:w="676" w:type="dxa"/>
            <w:shd w:val="clear" w:color="auto" w:fill="auto"/>
          </w:tcPr>
          <w:p w14:paraId="23188875" w14:textId="082E7E1C" w:rsidR="009B2CC8" w:rsidRPr="00584929" w:rsidRDefault="009B2CC8" w:rsidP="004A29FC">
            <w:pPr>
              <w:pStyle w:val="Akapitzlist"/>
              <w:numPr>
                <w:ilvl w:val="0"/>
                <w:numId w:val="20"/>
              </w:numPr>
              <w:rPr>
                <w:sz w:val="22"/>
                <w:szCs w:val="22"/>
              </w:rPr>
            </w:pPr>
          </w:p>
        </w:tc>
        <w:tc>
          <w:tcPr>
            <w:tcW w:w="1968" w:type="dxa"/>
            <w:shd w:val="clear" w:color="auto" w:fill="auto"/>
          </w:tcPr>
          <w:p w14:paraId="2EACDCE5" w14:textId="77777777" w:rsidR="00D37F89" w:rsidRPr="00584929" w:rsidRDefault="00D37F89" w:rsidP="004A29FC">
            <w:pPr>
              <w:rPr>
                <w:rFonts w:ascii="Times New Roman" w:hAnsi="Times New Roman" w:cs="Times New Roman"/>
              </w:rPr>
            </w:pPr>
            <w:r w:rsidRPr="00584929">
              <w:rPr>
                <w:rFonts w:ascii="Times New Roman" w:hAnsi="Times New Roman" w:cs="Times New Roman"/>
              </w:rPr>
              <w:t>Ministerstwo Rozwoju</w:t>
            </w:r>
          </w:p>
          <w:p w14:paraId="7F37A2A1" w14:textId="77777777" w:rsidR="009B2CC8" w:rsidRPr="00584929" w:rsidRDefault="009B2CC8" w:rsidP="004A29FC">
            <w:pPr>
              <w:rPr>
                <w:rFonts w:ascii="Times New Roman" w:hAnsi="Times New Roman" w:cs="Times New Roman"/>
              </w:rPr>
            </w:pPr>
          </w:p>
        </w:tc>
        <w:tc>
          <w:tcPr>
            <w:tcW w:w="1526" w:type="dxa"/>
            <w:shd w:val="clear" w:color="auto" w:fill="auto"/>
          </w:tcPr>
          <w:p w14:paraId="1466E830" w14:textId="73D07EC2" w:rsidR="009B2CC8" w:rsidRPr="00584929" w:rsidRDefault="00D37F89" w:rsidP="004A29FC">
            <w:pPr>
              <w:rPr>
                <w:rFonts w:ascii="Times New Roman" w:hAnsi="Times New Roman" w:cs="Times New Roman"/>
              </w:rPr>
            </w:pPr>
            <w:r w:rsidRPr="00584929">
              <w:rPr>
                <w:rFonts w:ascii="Times New Roman" w:hAnsi="Times New Roman" w:cs="Times New Roman"/>
              </w:rPr>
              <w:t xml:space="preserve">Art. 7 ust. 3  </w:t>
            </w:r>
          </w:p>
        </w:tc>
        <w:tc>
          <w:tcPr>
            <w:tcW w:w="5323" w:type="dxa"/>
            <w:shd w:val="clear" w:color="auto" w:fill="auto"/>
          </w:tcPr>
          <w:p w14:paraId="4AE629EA" w14:textId="3ED062C6" w:rsidR="001A0BA8" w:rsidRPr="00584929" w:rsidRDefault="00D37F89" w:rsidP="00300A00">
            <w:pPr>
              <w:jc w:val="both"/>
              <w:rPr>
                <w:rFonts w:ascii="Times New Roman" w:hAnsi="Times New Roman" w:cs="Times New Roman"/>
              </w:rPr>
            </w:pPr>
            <w:r w:rsidRPr="00584929">
              <w:rPr>
                <w:rFonts w:ascii="Times New Roman" w:hAnsi="Times New Roman" w:cs="Times New Roman"/>
              </w:rPr>
              <w:t>Ponownej redakcji wymaga brzmienie art. 7 ust. 3. Nie może być wątpliwości, że ponowne wykorzystanie danych uwarunkowane jest dopełnieniem przez administratora obowiązków określonych w art. 13 ust</w:t>
            </w:r>
            <w:r w:rsidR="00130416" w:rsidRPr="00584929">
              <w:rPr>
                <w:rFonts w:ascii="Times New Roman" w:hAnsi="Times New Roman" w:cs="Times New Roman"/>
              </w:rPr>
              <w:t>.</w:t>
            </w:r>
            <w:r w:rsidRPr="00584929">
              <w:rPr>
                <w:rFonts w:ascii="Times New Roman" w:hAnsi="Times New Roman" w:cs="Times New Roman"/>
              </w:rPr>
              <w:t xml:space="preserve"> 3 rozporządz</w:t>
            </w:r>
            <w:r w:rsidR="00915366" w:rsidRPr="00584929">
              <w:rPr>
                <w:rFonts w:ascii="Times New Roman" w:hAnsi="Times New Roman" w:cs="Times New Roman"/>
              </w:rPr>
              <w:t>enia Parlamentu Europejskiego i </w:t>
            </w:r>
            <w:r w:rsidRPr="00584929">
              <w:rPr>
                <w:rFonts w:ascii="Times New Roman" w:hAnsi="Times New Roman" w:cs="Times New Roman"/>
              </w:rPr>
              <w:t>Rady (UE) 2016/679 z dnia 27 kwietnia 2016 r. w sp</w:t>
            </w:r>
            <w:r w:rsidR="00915366" w:rsidRPr="00584929">
              <w:rPr>
                <w:rFonts w:ascii="Times New Roman" w:hAnsi="Times New Roman" w:cs="Times New Roman"/>
              </w:rPr>
              <w:t>rawie ochrony osób fizycznych w </w:t>
            </w:r>
            <w:r w:rsidRPr="00584929">
              <w:rPr>
                <w:rFonts w:ascii="Times New Roman" w:hAnsi="Times New Roman" w:cs="Times New Roman"/>
              </w:rPr>
              <w:t>związku z prze</w:t>
            </w:r>
            <w:r w:rsidR="00300A00" w:rsidRPr="00584929">
              <w:rPr>
                <w:rFonts w:ascii="Times New Roman" w:hAnsi="Times New Roman" w:cs="Times New Roman"/>
              </w:rPr>
              <w:t xml:space="preserve">twarzaniem danych osobowych </w:t>
            </w:r>
            <w:r w:rsidR="00300A00" w:rsidRPr="00584929">
              <w:rPr>
                <w:rFonts w:ascii="Times New Roman" w:hAnsi="Times New Roman" w:cs="Times New Roman"/>
              </w:rPr>
              <w:lastRenderedPageBreak/>
              <w:t>i w </w:t>
            </w:r>
            <w:r w:rsidRPr="00584929">
              <w:rPr>
                <w:rFonts w:ascii="Times New Roman" w:hAnsi="Times New Roman" w:cs="Times New Roman"/>
              </w:rPr>
              <w:t>sprawie swobodnego przepływu takich danych oraz uchylenia dyrektywy 95/46/WE (ogólne rozporządzeni</w:t>
            </w:r>
            <w:r w:rsidR="00300A00" w:rsidRPr="00584929">
              <w:rPr>
                <w:rFonts w:ascii="Times New Roman" w:hAnsi="Times New Roman" w:cs="Times New Roman"/>
              </w:rPr>
              <w:t>e o </w:t>
            </w:r>
            <w:r w:rsidRPr="00584929">
              <w:rPr>
                <w:rFonts w:ascii="Times New Roman" w:hAnsi="Times New Roman" w:cs="Times New Roman"/>
              </w:rPr>
              <w:t>ochronie danych) (Dz.Urz. UE L 119 z 04.05.2016, str. 1, z późn. zm.)</w:t>
            </w:r>
            <w:r w:rsidR="00130416" w:rsidRPr="00584929">
              <w:rPr>
                <w:rFonts w:ascii="Times New Roman" w:hAnsi="Times New Roman" w:cs="Times New Roman"/>
              </w:rPr>
              <w:t>.</w:t>
            </w:r>
          </w:p>
        </w:tc>
        <w:tc>
          <w:tcPr>
            <w:tcW w:w="4785" w:type="dxa"/>
            <w:shd w:val="clear" w:color="auto" w:fill="auto"/>
          </w:tcPr>
          <w:p w14:paraId="0A519CEA" w14:textId="77777777" w:rsidR="009B2CC8" w:rsidRPr="00584929" w:rsidRDefault="00300A00" w:rsidP="004A29FC">
            <w:pPr>
              <w:rPr>
                <w:rFonts w:ascii="Times New Roman" w:hAnsi="Times New Roman" w:cs="Times New Roman"/>
                <w:b/>
              </w:rPr>
            </w:pPr>
            <w:r w:rsidRPr="00584929">
              <w:rPr>
                <w:rFonts w:ascii="Times New Roman" w:hAnsi="Times New Roman" w:cs="Times New Roman"/>
                <w:b/>
              </w:rPr>
              <w:lastRenderedPageBreak/>
              <w:t xml:space="preserve">Wyjaśnienie </w:t>
            </w:r>
          </w:p>
          <w:p w14:paraId="2017F7BF" w14:textId="52881E59" w:rsidR="001672EF" w:rsidRPr="00584929" w:rsidRDefault="001672EF" w:rsidP="001672EF">
            <w:pPr>
              <w:jc w:val="both"/>
              <w:rPr>
                <w:rFonts w:ascii="Times New Roman" w:hAnsi="Times New Roman" w:cs="Times New Roman"/>
                <w:b/>
              </w:rPr>
            </w:pPr>
            <w:r w:rsidRPr="00584929">
              <w:rPr>
                <w:rFonts w:ascii="Times New Roman" w:hAnsi="Times New Roman" w:cs="Times New Roman"/>
              </w:rPr>
              <w:t>W odniesieniu do art. 7 ust. 3 projektodawca proponuje zachowanie przedstawionego w opiniowaniu brzemienia przepisu, tj.  „</w:t>
            </w:r>
            <w:r w:rsidRPr="00584929">
              <w:rPr>
                <w:rFonts w:ascii="Times New Roman" w:hAnsi="Times New Roman" w:cs="Times New Roman"/>
                <w:bCs/>
              </w:rPr>
              <w:t xml:space="preserve">do przetwarzania danych osobowych w celu udostępniania lub przekazywania informacji sektora </w:t>
            </w:r>
            <w:r w:rsidRPr="00584929">
              <w:rPr>
                <w:rFonts w:ascii="Times New Roman" w:hAnsi="Times New Roman" w:cs="Times New Roman"/>
                <w:bCs/>
              </w:rPr>
              <w:lastRenderedPageBreak/>
              <w:t>publicznego do ponownego wykorzystywania przepisu art. 13 ust. 3 RODO nie stosuje się”.</w:t>
            </w:r>
          </w:p>
          <w:p w14:paraId="7AE2E3D9" w14:textId="77FD8277" w:rsidR="00300A00" w:rsidRPr="00584929" w:rsidRDefault="00300A00" w:rsidP="00300A00">
            <w:pPr>
              <w:jc w:val="both"/>
              <w:rPr>
                <w:rFonts w:ascii="Times New Roman" w:hAnsi="Times New Roman" w:cs="Times New Roman"/>
                <w:b/>
              </w:rPr>
            </w:pPr>
            <w:r w:rsidRPr="00584929">
              <w:rPr>
                <w:rFonts w:ascii="Times New Roman" w:hAnsi="Times New Roman" w:cs="Times New Roman"/>
                <w:bCs/>
              </w:rPr>
              <w:t xml:space="preserve">Podmiot zobowiązany zbierając dane osobowe do określonych celów nie jest w stanie antycypować, że przedmiotowe dane potencjalnie w przyszłości mogą być objęte wnioskiem o ponowne wykorzystywanie informacji sektora publicznego. Nie ulega wątpliwości, że dane osobowe mogą zostać przekazane lub udostępniane do ponownego wykorzystywania, o ile istnieje podstawa prawna wymieniona w art. 6 ust. 1 RODO. Należy zauważyć jednocześnie, że samo działanie na danych osobowych objętych wnioskiem, które ostatecznie nie stanowić będzie samego przekazania lub udostępniania danych do ponownego wykorzystywania, np. polegające w szczególności na anonimizacji danych (depersonalizacji informacji sektora publicznego w części w jakiej zawiera dane osobowe) i w konsekwencji przekazanie do ponownego wykorzystywania jedynie zanonimizowanej informacji sektora publicznego, może zostać uznane za operację przetwarzania danych osobowych. Wówczas w świetle art. 13 ust. 3 RODO pojawia się wątpliwość, czy podmiot zobowiązany przetwarzający dane osobowe w ramach realizacji ustawowo nałożonych na niego obowiązków (realizacja przepisów o ponownym wykorzystywaniu) będzie zobligowany wypełnić przedmiotowy obowiązek informacyjny. Po drugie pojawia się zagadnienie praktycznych możliwości realizacji art. 13 ust. 3 RODO przez podmiot zobowiązany, w szczególności, gdy przedmiotem wniosku o ponowne wykorzystywanie nie są pojedyncze dane, a np. baza danych i podmiot zobowiązany nie dysponuje informacjami </w:t>
            </w:r>
            <w:r w:rsidRPr="00584929">
              <w:rPr>
                <w:rFonts w:ascii="Times New Roman" w:hAnsi="Times New Roman" w:cs="Times New Roman"/>
                <w:bCs/>
              </w:rPr>
              <w:lastRenderedPageBreak/>
              <w:t>pozwalającymi na efektywną realizację obowiązku informacyjnego, nawet w sytuacji, gdy ostatecznym sposobem załatwienia wniosku nie jest przekazanie danych osobowych.</w:t>
            </w:r>
          </w:p>
        </w:tc>
      </w:tr>
      <w:tr w:rsidR="009B2CC8" w:rsidRPr="00584929" w14:paraId="60BED7A5" w14:textId="77777777" w:rsidTr="00D94ED7">
        <w:tc>
          <w:tcPr>
            <w:tcW w:w="676" w:type="dxa"/>
            <w:shd w:val="clear" w:color="auto" w:fill="auto"/>
          </w:tcPr>
          <w:p w14:paraId="371DE047" w14:textId="77777777" w:rsidR="009B2CC8" w:rsidRPr="00584929" w:rsidRDefault="009B2CC8" w:rsidP="004A29FC">
            <w:pPr>
              <w:pStyle w:val="Akapitzlist"/>
              <w:numPr>
                <w:ilvl w:val="0"/>
                <w:numId w:val="20"/>
              </w:numPr>
              <w:rPr>
                <w:sz w:val="22"/>
                <w:szCs w:val="22"/>
              </w:rPr>
            </w:pPr>
          </w:p>
        </w:tc>
        <w:tc>
          <w:tcPr>
            <w:tcW w:w="1968" w:type="dxa"/>
            <w:shd w:val="clear" w:color="auto" w:fill="auto"/>
          </w:tcPr>
          <w:p w14:paraId="1031DE62" w14:textId="3E55696B" w:rsidR="009B2CC8" w:rsidRPr="00584929" w:rsidRDefault="00621324"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642D203A" w14:textId="236DA109" w:rsidR="009B2CC8" w:rsidRPr="00584929" w:rsidRDefault="00621324" w:rsidP="004A29FC">
            <w:pPr>
              <w:rPr>
                <w:rFonts w:ascii="Times New Roman" w:hAnsi="Times New Roman" w:cs="Times New Roman"/>
              </w:rPr>
            </w:pPr>
            <w:r w:rsidRPr="00584929">
              <w:rPr>
                <w:rFonts w:ascii="Times New Roman" w:hAnsi="Times New Roman" w:cs="Times New Roman"/>
              </w:rPr>
              <w:t>Art. 8</w:t>
            </w:r>
          </w:p>
        </w:tc>
        <w:tc>
          <w:tcPr>
            <w:tcW w:w="5323" w:type="dxa"/>
            <w:shd w:val="clear" w:color="auto" w:fill="auto"/>
          </w:tcPr>
          <w:p w14:paraId="323A4DFA" w14:textId="4FAFA66B" w:rsidR="009B2CC8" w:rsidRPr="00584929" w:rsidRDefault="00621324" w:rsidP="00915366">
            <w:pPr>
              <w:jc w:val="both"/>
              <w:rPr>
                <w:rFonts w:ascii="Times New Roman" w:hAnsi="Times New Roman" w:cs="Times New Roman"/>
              </w:rPr>
            </w:pPr>
            <w:r w:rsidRPr="00584929">
              <w:rPr>
                <w:rFonts w:ascii="Times New Roman" w:hAnsi="Times New Roman" w:cs="Times New Roman"/>
              </w:rPr>
              <w:t>W zakresie art. 8 projektu ustawy – posłużenie się pojęciem niedookreślonym „porównywalnych sytuacji” oraz konstrukcja redakcyjna ust. 2 powodują, że nie jest możliwe ustalenie w sposób precyzyjny o jakich sytuacjach jest mowa w tym przepisie, co stanowi naruszenie § 6 ZTP, który zobowiązuje do formułowania przepisów w taki sposób, by dokładnie i w sposób zrozumiały dla adresatów wyrażały intencję prawodawcy, ponadto ponownej analizy wymaga czy przepis ze względu na zakres swojej regulacji nie powinien zostać przeniesiony do rozdziału 1 niniejszego proje</w:t>
            </w:r>
            <w:r w:rsidR="00915366" w:rsidRPr="00584929">
              <w:rPr>
                <w:rFonts w:ascii="Times New Roman" w:hAnsi="Times New Roman" w:cs="Times New Roman"/>
              </w:rPr>
              <w:t>ktu.</w:t>
            </w:r>
          </w:p>
        </w:tc>
        <w:tc>
          <w:tcPr>
            <w:tcW w:w="4785" w:type="dxa"/>
            <w:shd w:val="clear" w:color="auto" w:fill="auto"/>
          </w:tcPr>
          <w:p w14:paraId="3F7A3ABB" w14:textId="7F98E598" w:rsidR="00621324" w:rsidRPr="00584929" w:rsidRDefault="00621324" w:rsidP="004A29FC">
            <w:pPr>
              <w:rPr>
                <w:rFonts w:ascii="Times New Roman" w:hAnsi="Times New Roman" w:cs="Times New Roman"/>
                <w:b/>
              </w:rPr>
            </w:pPr>
            <w:r w:rsidRPr="00584929">
              <w:rPr>
                <w:rFonts w:ascii="Times New Roman" w:hAnsi="Times New Roman" w:cs="Times New Roman"/>
                <w:b/>
              </w:rPr>
              <w:t xml:space="preserve">Uwaga </w:t>
            </w:r>
            <w:r w:rsidR="000C7E51" w:rsidRPr="00584929">
              <w:rPr>
                <w:rFonts w:ascii="Times New Roman" w:hAnsi="Times New Roman" w:cs="Times New Roman"/>
                <w:b/>
              </w:rPr>
              <w:t xml:space="preserve">wyjaśniona </w:t>
            </w:r>
          </w:p>
          <w:p w14:paraId="61E49468" w14:textId="5029A920" w:rsidR="000C7E51" w:rsidRPr="00584929" w:rsidRDefault="000C7E51" w:rsidP="000C7E51">
            <w:pPr>
              <w:jc w:val="both"/>
              <w:rPr>
                <w:rFonts w:ascii="Times New Roman" w:hAnsi="Times New Roman" w:cs="Times New Roman"/>
              </w:rPr>
            </w:pPr>
            <w:r w:rsidRPr="00584929">
              <w:rPr>
                <w:rFonts w:ascii="Times New Roman" w:hAnsi="Times New Roman" w:cs="Times New Roman"/>
              </w:rPr>
              <w:t>Przepis zostanie poddany dodatkowej analizie w ramach rozpatrzenia projektu ustawy przez Komisję prawniczą.</w:t>
            </w:r>
          </w:p>
          <w:p w14:paraId="01CE41CC" w14:textId="77777777" w:rsidR="009B2CC8" w:rsidRPr="00584929" w:rsidRDefault="009B2CC8" w:rsidP="004A29FC">
            <w:pPr>
              <w:rPr>
                <w:rFonts w:ascii="Times New Roman" w:hAnsi="Times New Roman" w:cs="Times New Roman"/>
              </w:rPr>
            </w:pPr>
          </w:p>
        </w:tc>
      </w:tr>
      <w:tr w:rsidR="009B2CC8" w:rsidRPr="00584929" w14:paraId="12418A89" w14:textId="77777777" w:rsidTr="00D94ED7">
        <w:tc>
          <w:tcPr>
            <w:tcW w:w="676" w:type="dxa"/>
            <w:shd w:val="clear" w:color="auto" w:fill="auto"/>
          </w:tcPr>
          <w:p w14:paraId="378BB8A0" w14:textId="191E5125" w:rsidR="009B2CC8" w:rsidRPr="00584929" w:rsidRDefault="009B2CC8" w:rsidP="004A29FC">
            <w:pPr>
              <w:pStyle w:val="Akapitzlist"/>
              <w:numPr>
                <w:ilvl w:val="0"/>
                <w:numId w:val="20"/>
              </w:numPr>
              <w:rPr>
                <w:sz w:val="22"/>
                <w:szCs w:val="22"/>
              </w:rPr>
            </w:pPr>
          </w:p>
        </w:tc>
        <w:tc>
          <w:tcPr>
            <w:tcW w:w="1968" w:type="dxa"/>
            <w:shd w:val="clear" w:color="auto" w:fill="auto"/>
          </w:tcPr>
          <w:p w14:paraId="0636AB38" w14:textId="58CCA5BB" w:rsidR="009B2CC8" w:rsidRPr="00584929" w:rsidRDefault="00621324"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7A5335B1" w14:textId="7C62D07C" w:rsidR="009B2CC8" w:rsidRPr="00584929" w:rsidRDefault="00621324" w:rsidP="004A29FC">
            <w:pPr>
              <w:rPr>
                <w:rFonts w:ascii="Times New Roman" w:hAnsi="Times New Roman" w:cs="Times New Roman"/>
              </w:rPr>
            </w:pPr>
            <w:r w:rsidRPr="00584929">
              <w:rPr>
                <w:rFonts w:ascii="Times New Roman" w:hAnsi="Times New Roman" w:cs="Times New Roman"/>
              </w:rPr>
              <w:t>Art. 9 ust. 1</w:t>
            </w:r>
          </w:p>
        </w:tc>
        <w:tc>
          <w:tcPr>
            <w:tcW w:w="5323" w:type="dxa"/>
            <w:shd w:val="clear" w:color="auto" w:fill="auto"/>
          </w:tcPr>
          <w:p w14:paraId="653FC9E6" w14:textId="2AAFCB5F" w:rsidR="00621324" w:rsidRPr="00584929" w:rsidRDefault="00621324" w:rsidP="00915366">
            <w:pPr>
              <w:jc w:val="both"/>
              <w:rPr>
                <w:rFonts w:ascii="Times New Roman" w:hAnsi="Times New Roman" w:cs="Times New Roman"/>
              </w:rPr>
            </w:pPr>
            <w:r w:rsidRPr="00584929">
              <w:rPr>
                <w:rFonts w:ascii="Times New Roman" w:hAnsi="Times New Roman" w:cs="Times New Roman"/>
              </w:rPr>
              <w:t>W odniesieniu do art. 9 ust. 1 należy rozważyć zmiany redakcyjne projektowanych zapisów. Wyrażenie „nie może wprowadzać ograniczenia” proponuje się zastąpić wyrażeniem „nie ogranicza”.</w:t>
            </w:r>
          </w:p>
        </w:tc>
        <w:tc>
          <w:tcPr>
            <w:tcW w:w="4785" w:type="dxa"/>
            <w:shd w:val="clear" w:color="auto" w:fill="auto"/>
          </w:tcPr>
          <w:p w14:paraId="65EE375C" w14:textId="77777777" w:rsidR="009B2CC8" w:rsidRPr="00584929" w:rsidRDefault="00621324" w:rsidP="004A29FC">
            <w:pPr>
              <w:rPr>
                <w:rFonts w:ascii="Times New Roman" w:hAnsi="Times New Roman" w:cs="Times New Roman"/>
                <w:b/>
              </w:rPr>
            </w:pPr>
            <w:r w:rsidRPr="00584929">
              <w:rPr>
                <w:rFonts w:ascii="Times New Roman" w:hAnsi="Times New Roman" w:cs="Times New Roman"/>
                <w:b/>
              </w:rPr>
              <w:t>Uwaga uwzględniona</w:t>
            </w:r>
          </w:p>
          <w:p w14:paraId="5B316D78" w14:textId="5940CF00" w:rsidR="000C7E51" w:rsidRPr="00584929" w:rsidRDefault="000C7E51" w:rsidP="004A29FC">
            <w:pPr>
              <w:rPr>
                <w:rFonts w:ascii="Times New Roman" w:hAnsi="Times New Roman" w:cs="Times New Roman"/>
              </w:rPr>
            </w:pPr>
            <w:r w:rsidRPr="00584929">
              <w:rPr>
                <w:rFonts w:ascii="Times New Roman" w:hAnsi="Times New Roman" w:cs="Times New Roman"/>
              </w:rPr>
              <w:t>Przepis zostanie zmieniony.</w:t>
            </w:r>
          </w:p>
        </w:tc>
      </w:tr>
      <w:tr w:rsidR="009B2CC8" w:rsidRPr="00584929" w14:paraId="2C2D6456" w14:textId="77777777" w:rsidTr="00D94ED7">
        <w:tc>
          <w:tcPr>
            <w:tcW w:w="676" w:type="dxa"/>
            <w:shd w:val="clear" w:color="auto" w:fill="auto"/>
          </w:tcPr>
          <w:p w14:paraId="1824189E" w14:textId="5BCEC1FC" w:rsidR="009B2CC8" w:rsidRPr="00584929" w:rsidRDefault="009B2CC8" w:rsidP="004A29FC">
            <w:pPr>
              <w:pStyle w:val="Akapitzlist"/>
              <w:numPr>
                <w:ilvl w:val="0"/>
                <w:numId w:val="20"/>
              </w:numPr>
              <w:rPr>
                <w:sz w:val="22"/>
                <w:szCs w:val="22"/>
              </w:rPr>
            </w:pPr>
          </w:p>
        </w:tc>
        <w:tc>
          <w:tcPr>
            <w:tcW w:w="1968" w:type="dxa"/>
            <w:shd w:val="clear" w:color="auto" w:fill="auto"/>
          </w:tcPr>
          <w:p w14:paraId="3BD11BDF" w14:textId="6B02DC21" w:rsidR="009B2CC8" w:rsidRPr="00584929" w:rsidRDefault="00621324"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602715DF" w14:textId="0686A200" w:rsidR="009B2CC8" w:rsidRPr="00584929" w:rsidRDefault="00621324" w:rsidP="004A29FC">
            <w:pPr>
              <w:rPr>
                <w:rFonts w:ascii="Times New Roman" w:hAnsi="Times New Roman" w:cs="Times New Roman"/>
              </w:rPr>
            </w:pPr>
            <w:r w:rsidRPr="00584929">
              <w:rPr>
                <w:rFonts w:ascii="Times New Roman" w:hAnsi="Times New Roman" w:cs="Times New Roman"/>
              </w:rPr>
              <w:t>Art. 9 ust. 3</w:t>
            </w:r>
          </w:p>
        </w:tc>
        <w:tc>
          <w:tcPr>
            <w:tcW w:w="5323" w:type="dxa"/>
            <w:shd w:val="clear" w:color="auto" w:fill="auto"/>
          </w:tcPr>
          <w:p w14:paraId="567F0060" w14:textId="3ACE0333" w:rsidR="00913D67" w:rsidRPr="00584929" w:rsidRDefault="00621324" w:rsidP="00915366">
            <w:pPr>
              <w:jc w:val="both"/>
              <w:rPr>
                <w:rFonts w:ascii="Times New Roman" w:hAnsi="Times New Roman" w:cs="Times New Roman"/>
              </w:rPr>
            </w:pPr>
            <w:r w:rsidRPr="00584929">
              <w:rPr>
                <w:rFonts w:ascii="Times New Roman" w:hAnsi="Times New Roman" w:cs="Times New Roman"/>
              </w:rPr>
              <w:t>Zgodnie z art. 9 ust. 3 projektowanej ustawy, umowa zwarta pomiędzy podmiotem zobowiązanym (zdefiniowanym w art. 2 pkt 12 jako podmiot zobowiązany do udostępniania lub przekazywania informacji sektora publicznego w ce</w:t>
            </w:r>
            <w:r w:rsidR="00536745" w:rsidRPr="00584929">
              <w:rPr>
                <w:rFonts w:ascii="Times New Roman" w:hAnsi="Times New Roman" w:cs="Times New Roman"/>
              </w:rPr>
              <w:t>lu ponownego wykorzystywania, o </w:t>
            </w:r>
            <w:r w:rsidRPr="00584929">
              <w:rPr>
                <w:rFonts w:ascii="Times New Roman" w:hAnsi="Times New Roman" w:cs="Times New Roman"/>
              </w:rPr>
              <w:t>którym mowa w art. 3) a użytkownikiem (zdefiniowanym w art. 2 pkt 15 jako osoba fizyczna, osoba prawna lub jednostka organizacyjna nieposiadająca osobowości prawnej, która ponownie wykorzystuje inf</w:t>
            </w:r>
            <w:r w:rsidR="00915366" w:rsidRPr="00584929">
              <w:rPr>
                <w:rFonts w:ascii="Times New Roman" w:hAnsi="Times New Roman" w:cs="Times New Roman"/>
              </w:rPr>
              <w:t>ormacje sektora publicznego) „o </w:t>
            </w:r>
            <w:r w:rsidRPr="00584929">
              <w:rPr>
                <w:rFonts w:ascii="Times New Roman" w:hAnsi="Times New Roman" w:cs="Times New Roman"/>
              </w:rPr>
              <w:t>udzielenie wyłącznego prawa do korzystania z informacji sektora publicznego podlega raz w roku ocenie przez podmiot zobowiązany co do dalszego istnienia</w:t>
            </w:r>
            <w:r w:rsidR="00536745" w:rsidRPr="00584929">
              <w:rPr>
                <w:rFonts w:ascii="Times New Roman" w:hAnsi="Times New Roman" w:cs="Times New Roman"/>
              </w:rPr>
              <w:t xml:space="preserve"> powodów jej zawarcia. Jeżeli w </w:t>
            </w:r>
            <w:r w:rsidRPr="00584929">
              <w:rPr>
                <w:rFonts w:ascii="Times New Roman" w:hAnsi="Times New Roman" w:cs="Times New Roman"/>
              </w:rPr>
              <w:t>wyniku oceny podmiot zobowiązany stwierdzi ustanie powodów jej zawarcia, niezwłocznie wypowiada umowę ze skutkiem natychmiasto</w:t>
            </w:r>
            <w:r w:rsidR="00915366" w:rsidRPr="00584929">
              <w:rPr>
                <w:rFonts w:ascii="Times New Roman" w:hAnsi="Times New Roman" w:cs="Times New Roman"/>
              </w:rPr>
              <w:t>wym”. Jednym z </w:t>
            </w:r>
            <w:r w:rsidRPr="00584929">
              <w:rPr>
                <w:rFonts w:ascii="Times New Roman" w:hAnsi="Times New Roman" w:cs="Times New Roman"/>
              </w:rPr>
              <w:t xml:space="preserve">podstawowych </w:t>
            </w:r>
            <w:r w:rsidRPr="00584929">
              <w:rPr>
                <w:rFonts w:ascii="Times New Roman" w:hAnsi="Times New Roman" w:cs="Times New Roman"/>
              </w:rPr>
              <w:lastRenderedPageBreak/>
              <w:t>elementów, które składają się na istotne postanowienia umowy jest czas jej trwania. Co do zasady rozwiązanie umowy w tr</w:t>
            </w:r>
            <w:r w:rsidR="00915366" w:rsidRPr="00584929">
              <w:rPr>
                <w:rFonts w:ascii="Times New Roman" w:hAnsi="Times New Roman" w:cs="Times New Roman"/>
              </w:rPr>
              <w:t>ybie natychmiastowym zachodzi w </w:t>
            </w:r>
            <w:r w:rsidRPr="00584929">
              <w:rPr>
                <w:rFonts w:ascii="Times New Roman" w:hAnsi="Times New Roman" w:cs="Times New Roman"/>
              </w:rPr>
              <w:t>przypadku stwierdzenia określonych naruszeń lub dopuszczenia się przez stronę/y umowy działań sprzecznych z prawem. Biorąc powyższe pod uwagę, proponuje się rozważenie zmiany zapisu w art. 9 ust. 3 projektu ustawy w taki sposób, aby umowa była zawierana na rok, z możliwością jej przedłużenia na kolejne roczne okresy w przypadku pozytywnej oceny zasadności powodów jej obowiązywania.</w:t>
            </w:r>
          </w:p>
        </w:tc>
        <w:tc>
          <w:tcPr>
            <w:tcW w:w="4785" w:type="dxa"/>
            <w:shd w:val="clear" w:color="auto" w:fill="auto"/>
          </w:tcPr>
          <w:p w14:paraId="597AE02E" w14:textId="77777777" w:rsidR="00621324" w:rsidRPr="00584929" w:rsidRDefault="00621324" w:rsidP="004A29FC">
            <w:pPr>
              <w:rPr>
                <w:rFonts w:ascii="Times New Roman" w:hAnsi="Times New Roman" w:cs="Times New Roman"/>
                <w:b/>
              </w:rPr>
            </w:pPr>
            <w:r w:rsidRPr="00584929">
              <w:rPr>
                <w:rFonts w:ascii="Times New Roman" w:hAnsi="Times New Roman" w:cs="Times New Roman"/>
                <w:b/>
              </w:rPr>
              <w:lastRenderedPageBreak/>
              <w:t xml:space="preserve">Uwaga nieuwzględniona </w:t>
            </w:r>
          </w:p>
          <w:p w14:paraId="36EB7037" w14:textId="77777777" w:rsidR="00536745" w:rsidRPr="00584929" w:rsidRDefault="00536745" w:rsidP="00536745">
            <w:pPr>
              <w:jc w:val="both"/>
              <w:rPr>
                <w:rFonts w:ascii="Times New Roman" w:hAnsi="Times New Roman" w:cs="Times New Roman"/>
              </w:rPr>
            </w:pPr>
            <w:r w:rsidRPr="00584929">
              <w:rPr>
                <w:rFonts w:ascii="Times New Roman" w:hAnsi="Times New Roman" w:cs="Times New Roman"/>
              </w:rPr>
              <w:t>Projekt ustawy formułuje w art. 9 projektu ustawy zasadę niewyłączności, zgodnie z którą podmiot zobowiązany ma generalny zakaz zawierania umów o udzielenie wyłącznego prawa do korzystania z ISP.</w:t>
            </w:r>
          </w:p>
          <w:p w14:paraId="6F4F2212" w14:textId="51E38D51" w:rsidR="00536745" w:rsidRPr="00584929" w:rsidRDefault="00536745" w:rsidP="00536745">
            <w:pPr>
              <w:jc w:val="both"/>
              <w:rPr>
                <w:rFonts w:ascii="Times New Roman" w:hAnsi="Times New Roman" w:cs="Times New Roman"/>
              </w:rPr>
            </w:pPr>
            <w:r w:rsidRPr="00584929">
              <w:rPr>
                <w:rFonts w:ascii="Times New Roman" w:hAnsi="Times New Roman" w:cs="Times New Roman"/>
              </w:rPr>
              <w:t xml:space="preserve">Zawarcie umowy o udzielenie wyłącznego prawa do korzystania z ISP jest dopuszczalne jedynie wyjątkowo, w sytuacji gdy jest to niezbędne do prawidłowego wykonywania zadań publicznych (art. 9 ust. 2 projektu ustawy). Wyjątek dotyczący możliwości zawarcia </w:t>
            </w:r>
            <w:r w:rsidR="004D06F7" w:rsidRPr="00584929">
              <w:rPr>
                <w:rFonts w:ascii="Times New Roman" w:hAnsi="Times New Roman" w:cs="Times New Roman"/>
              </w:rPr>
              <w:t xml:space="preserve">umowy </w:t>
            </w:r>
            <w:r w:rsidRPr="00584929">
              <w:rPr>
                <w:rFonts w:ascii="Times New Roman" w:hAnsi="Times New Roman" w:cs="Times New Roman"/>
              </w:rPr>
              <w:t xml:space="preserve">o udzielenie wyłącznego prawa do korzystania z ISP dotyczyć może np. sytuacji, w których prawo wyłączne jest niezbędne do świadczenia usług, np. użytkownik (mając na uwadze ponoszone koszty, osiągnięcie </w:t>
            </w:r>
            <w:r w:rsidRPr="00584929">
              <w:rPr>
                <w:rFonts w:ascii="Times New Roman" w:hAnsi="Times New Roman" w:cs="Times New Roman"/>
              </w:rPr>
              <w:lastRenderedPageBreak/>
              <w:t xml:space="preserve">zwrotu z inwestycji itd.) nie zdecydowałby się na ponowne wykorzystywanie ISP (stworzenie usługi, produktu itd.) bez zagwarantowania sobie wyłącznego prawa do danych na określony czas. </w:t>
            </w:r>
          </w:p>
          <w:p w14:paraId="49DAF909" w14:textId="1EDC7D4F" w:rsidR="00536745" w:rsidRPr="00584929" w:rsidRDefault="00536745" w:rsidP="00536745">
            <w:pPr>
              <w:jc w:val="both"/>
              <w:rPr>
                <w:rFonts w:ascii="Times New Roman" w:hAnsi="Times New Roman" w:cs="Times New Roman"/>
              </w:rPr>
            </w:pPr>
            <w:r w:rsidRPr="00584929">
              <w:rPr>
                <w:rFonts w:ascii="Times New Roman" w:hAnsi="Times New Roman" w:cs="Times New Roman"/>
              </w:rPr>
              <w:t xml:space="preserve">W motywie 48 </w:t>
            </w:r>
            <w:r w:rsidR="00B309B5" w:rsidRPr="00584929">
              <w:rPr>
                <w:rFonts w:ascii="Times New Roman" w:hAnsi="Times New Roman" w:cs="Times New Roman"/>
              </w:rPr>
              <w:t xml:space="preserve">preambuły do </w:t>
            </w:r>
            <w:r w:rsidRPr="00584929">
              <w:rPr>
                <w:rFonts w:ascii="Times New Roman" w:hAnsi="Times New Roman" w:cs="Times New Roman"/>
              </w:rPr>
              <w:t>dyrektywy 2019/1024/UE jako p</w:t>
            </w:r>
            <w:r w:rsidR="00B309B5" w:rsidRPr="00584929">
              <w:rPr>
                <w:rFonts w:ascii="Times New Roman" w:hAnsi="Times New Roman" w:cs="Times New Roman"/>
              </w:rPr>
              <w:t>rzykład wskazano sytuację, w </w:t>
            </w:r>
            <w:r w:rsidRPr="00584929">
              <w:rPr>
                <w:rFonts w:ascii="Times New Roman" w:hAnsi="Times New Roman" w:cs="Times New Roman"/>
              </w:rPr>
              <w:t xml:space="preserve">której żaden wydawca  komercyjny nie  opublikowałby informacji, nie  posiadając  prawa wyłącznego. W tym kontekście okres na jaki zawierana jest umowa oraz względna trwałość jej postanowień mogą być bardzo istotne dla potencjalnego użytkownika. Zawieranie umów na rok z możliwością ich przedłużenia stanowić może barierę w przypadku projektów realizowanych w dłuższym horyzoncie czasowym. </w:t>
            </w:r>
          </w:p>
          <w:p w14:paraId="613E4016" w14:textId="7090A8B5" w:rsidR="009B2CC8" w:rsidRPr="00584929" w:rsidRDefault="00536745" w:rsidP="00536745">
            <w:pPr>
              <w:jc w:val="both"/>
              <w:rPr>
                <w:rFonts w:ascii="Times New Roman" w:hAnsi="Times New Roman" w:cs="Times New Roman"/>
              </w:rPr>
            </w:pPr>
            <w:r w:rsidRPr="00584929">
              <w:rPr>
                <w:rFonts w:ascii="Times New Roman" w:hAnsi="Times New Roman" w:cs="Times New Roman"/>
              </w:rPr>
              <w:t>Niezależnie od powyższego w umowie powinny znaleźć się przesłanki uzasadniające wypowiedzenie umowy z uwagi na wyniki corocznego przeglądu.</w:t>
            </w:r>
          </w:p>
        </w:tc>
      </w:tr>
      <w:tr w:rsidR="009B2CC8" w:rsidRPr="00584929" w14:paraId="599C6BE7" w14:textId="77777777" w:rsidTr="00D94ED7">
        <w:tc>
          <w:tcPr>
            <w:tcW w:w="676" w:type="dxa"/>
            <w:shd w:val="clear" w:color="auto" w:fill="auto"/>
          </w:tcPr>
          <w:p w14:paraId="1F589A94" w14:textId="77777777" w:rsidR="009B2CC8" w:rsidRPr="00584929" w:rsidRDefault="009B2CC8" w:rsidP="004A29FC">
            <w:pPr>
              <w:pStyle w:val="Akapitzlist"/>
              <w:numPr>
                <w:ilvl w:val="0"/>
                <w:numId w:val="20"/>
              </w:numPr>
              <w:rPr>
                <w:sz w:val="22"/>
                <w:szCs w:val="22"/>
              </w:rPr>
            </w:pPr>
          </w:p>
        </w:tc>
        <w:tc>
          <w:tcPr>
            <w:tcW w:w="1968" w:type="dxa"/>
            <w:shd w:val="clear" w:color="auto" w:fill="auto"/>
          </w:tcPr>
          <w:p w14:paraId="252EEB13" w14:textId="1EEB5D33" w:rsidR="009B2CC8" w:rsidRPr="00584929" w:rsidRDefault="00621324"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13FCF113" w14:textId="4AB570CE" w:rsidR="009B2CC8" w:rsidRPr="00584929" w:rsidRDefault="00621324" w:rsidP="004A29FC">
            <w:pPr>
              <w:rPr>
                <w:rFonts w:ascii="Times New Roman" w:hAnsi="Times New Roman" w:cs="Times New Roman"/>
              </w:rPr>
            </w:pPr>
            <w:r w:rsidRPr="00584929">
              <w:rPr>
                <w:rFonts w:ascii="Times New Roman" w:hAnsi="Times New Roman" w:cs="Times New Roman"/>
              </w:rPr>
              <w:t>Art. 10 ust. 3</w:t>
            </w:r>
          </w:p>
        </w:tc>
        <w:tc>
          <w:tcPr>
            <w:tcW w:w="5323" w:type="dxa"/>
            <w:shd w:val="clear" w:color="auto" w:fill="auto"/>
          </w:tcPr>
          <w:p w14:paraId="69B93014" w14:textId="7CC9AB92" w:rsidR="00913D67" w:rsidRPr="00584929" w:rsidRDefault="00621324" w:rsidP="00915366">
            <w:pPr>
              <w:jc w:val="both"/>
              <w:rPr>
                <w:rFonts w:ascii="Times New Roman" w:hAnsi="Times New Roman" w:cs="Times New Roman"/>
              </w:rPr>
            </w:pPr>
            <w:r w:rsidRPr="00584929">
              <w:rPr>
                <w:rFonts w:ascii="Times New Roman" w:hAnsi="Times New Roman" w:cs="Times New Roman"/>
              </w:rPr>
              <w:t>Zgodnie z art. 10 ust. 3 projektu ustawy podmioty zobowiązane nie są obowiązane do tworzenia informacji sektora publicznego, i</w:t>
            </w:r>
            <w:r w:rsidR="0089283C" w:rsidRPr="00584929">
              <w:rPr>
                <w:rFonts w:ascii="Times New Roman" w:hAnsi="Times New Roman" w:cs="Times New Roman"/>
              </w:rPr>
              <w:t>ch przetwarzania w sposób lub w </w:t>
            </w:r>
            <w:r w:rsidRPr="00584929">
              <w:rPr>
                <w:rFonts w:ascii="Times New Roman" w:hAnsi="Times New Roman" w:cs="Times New Roman"/>
              </w:rPr>
              <w:t xml:space="preserve">formie wskazanych we wniosku o ponowne wykorzystywanie oraz sporządzania z nich wyciągów, jeżeli spowoduje to konieczność podjęcia nieproporcjonalnych działań przekraczających proste czynności. W myśl natomiast art. 40 ust. 5 projektu ustawy podmiot zobowiązany może, w drodze decyzji, odmówić wyrażenia zgody na ponowne wykorzystywanie informacji sektora publicznego w przypadku, o którym mowa w art. 10 ust. 3. Jak wskazano w treści uzasadnienia, przepis art. 10 ust. 3 projektu ustawy przewiduje wyłączenie obligatoryjności dodatkowego opracowania informacji sektora publicznego na potrzeby realizacji wniosku o ponowne wykorzystywanie. Dotyczy to </w:t>
            </w:r>
            <w:r w:rsidRPr="00584929">
              <w:rPr>
                <w:rFonts w:ascii="Times New Roman" w:hAnsi="Times New Roman" w:cs="Times New Roman"/>
              </w:rPr>
              <w:lastRenderedPageBreak/>
              <w:t>wyłącznie sytuacji, w której dokonanie określonych we wniosku czynności wymaga podjęcia nieproporcjonalnych działań, przekraczających proste operacje na informacji. Przepis ten w szczególności dotyczyć może podmiotów zobowiązanych będących muzeami państwowymi lub muzeami samorządow</w:t>
            </w:r>
            <w:r w:rsidR="00915366" w:rsidRPr="00584929">
              <w:rPr>
                <w:rFonts w:ascii="Times New Roman" w:hAnsi="Times New Roman" w:cs="Times New Roman"/>
              </w:rPr>
              <w:t>ymi, bibliotekami publicznymi i </w:t>
            </w:r>
            <w:r w:rsidRPr="00584929">
              <w:rPr>
                <w:rFonts w:ascii="Times New Roman" w:hAnsi="Times New Roman" w:cs="Times New Roman"/>
              </w:rPr>
              <w:t>naukowymi oraz archiwami państwowymi ze względu na formaty posiadanych przez nie informacji sektora publicznego. W przypadku gdy wniosek będzie obejmował np. dany materiał biblioteczny w postaci elektronicznej</w:t>
            </w:r>
            <w:r w:rsidR="00915366" w:rsidRPr="00584929">
              <w:rPr>
                <w:rFonts w:ascii="Times New Roman" w:hAnsi="Times New Roman" w:cs="Times New Roman"/>
              </w:rPr>
              <w:t>, a podmiot zobowiązany byłby w </w:t>
            </w:r>
            <w:r w:rsidRPr="00584929">
              <w:rPr>
                <w:rFonts w:ascii="Times New Roman" w:hAnsi="Times New Roman" w:cs="Times New Roman"/>
              </w:rPr>
              <w:t xml:space="preserve">posiadaniu jedynie jego egzemplarza, nie będzie wówczas obowiązany </w:t>
            </w:r>
            <w:r w:rsidR="0089283C" w:rsidRPr="00584929">
              <w:rPr>
                <w:rFonts w:ascii="Times New Roman" w:hAnsi="Times New Roman" w:cs="Times New Roman"/>
              </w:rPr>
              <w:t>do opracowania tego materiału w </w:t>
            </w:r>
            <w:r w:rsidRPr="00584929">
              <w:rPr>
                <w:rFonts w:ascii="Times New Roman" w:hAnsi="Times New Roman" w:cs="Times New Roman"/>
              </w:rPr>
              <w:t xml:space="preserve">postać elektroniczną, czyli dokonania digitalizacji egzemplarza. Wskazać należy jednak, iż użyte w art. 10 ust. 3 projektu ustawy określenie „nieproporcjonalnych działań przekraczających proste </w:t>
            </w:r>
            <w:r w:rsidR="00915366" w:rsidRPr="00584929">
              <w:rPr>
                <w:rFonts w:ascii="Times New Roman" w:hAnsi="Times New Roman" w:cs="Times New Roman"/>
              </w:rPr>
              <w:t>czynności” jest nieprecyzyjne i </w:t>
            </w:r>
            <w:r w:rsidRPr="00584929">
              <w:rPr>
                <w:rFonts w:ascii="Times New Roman" w:hAnsi="Times New Roman" w:cs="Times New Roman"/>
              </w:rPr>
              <w:t>może w związku z tym prowadzić do wątpliwości w trakcie stosowania tego przepisu, mogących prowadzić do przypadków wydawania niezasadnych decyzji w przedmiocie odmowy wyrażenia zgody na ponowne wykorzystywanie informacji sektora publicznego. Wątpliwości dotyczą w szczególności sprecyzowania, w jakich sytuacjach działania organu można uznać za proste czynności, a które trzeba już zaliczyć do czynności z</w:t>
            </w:r>
            <w:r w:rsidR="0089283C" w:rsidRPr="00584929">
              <w:rPr>
                <w:rFonts w:ascii="Times New Roman" w:hAnsi="Times New Roman" w:cs="Times New Roman"/>
              </w:rPr>
              <w:t>łożonych. Brak jest natomiast w </w:t>
            </w:r>
            <w:r w:rsidRPr="00584929">
              <w:rPr>
                <w:rFonts w:ascii="Times New Roman" w:hAnsi="Times New Roman" w:cs="Times New Roman"/>
              </w:rPr>
              <w:t>treści projektowanego przepisu odwołania do innych szczegółowych kryteriów, które mogłyby zwalniać organ z obowiązku dodatkowego opracowania informacji sektora publicznego n</w:t>
            </w:r>
            <w:r w:rsidR="0089283C" w:rsidRPr="00584929">
              <w:rPr>
                <w:rFonts w:ascii="Times New Roman" w:hAnsi="Times New Roman" w:cs="Times New Roman"/>
              </w:rPr>
              <w:t>a potrzeby realizacji wniosku o </w:t>
            </w:r>
            <w:r w:rsidRPr="00584929">
              <w:rPr>
                <w:rFonts w:ascii="Times New Roman" w:hAnsi="Times New Roman" w:cs="Times New Roman"/>
              </w:rPr>
              <w:t>ponowne wykorzys</w:t>
            </w:r>
            <w:r w:rsidR="0089283C" w:rsidRPr="00584929">
              <w:rPr>
                <w:rFonts w:ascii="Times New Roman" w:hAnsi="Times New Roman" w:cs="Times New Roman"/>
              </w:rPr>
              <w:t>tywanie, w sytuacji wskazanej w </w:t>
            </w:r>
            <w:r w:rsidRPr="00584929">
              <w:rPr>
                <w:rFonts w:ascii="Times New Roman" w:hAnsi="Times New Roman" w:cs="Times New Roman"/>
              </w:rPr>
              <w:t>uzasadnieniu projektu, tj. gdy środki techniczne, którymi dysponuje podmiot obowiązany do udostępnienia, nie umożliwiają udostę</w:t>
            </w:r>
            <w:r w:rsidR="0089283C" w:rsidRPr="00584929">
              <w:rPr>
                <w:rFonts w:ascii="Times New Roman" w:hAnsi="Times New Roman" w:cs="Times New Roman"/>
              </w:rPr>
              <w:t>pnienia informacji w sposób i w </w:t>
            </w:r>
            <w:r w:rsidRPr="00584929">
              <w:rPr>
                <w:rFonts w:ascii="Times New Roman" w:hAnsi="Times New Roman" w:cs="Times New Roman"/>
              </w:rPr>
              <w:t xml:space="preserve">formie określonych we wniosku, w sytuacji żądania </w:t>
            </w:r>
            <w:r w:rsidRPr="00584929">
              <w:rPr>
                <w:rFonts w:ascii="Times New Roman" w:hAnsi="Times New Roman" w:cs="Times New Roman"/>
              </w:rPr>
              <w:lastRenderedPageBreak/>
              <w:t>przesłania w postaci elektronicznej materiału bibliotecznego, który nie został zdigitalizowany. Dodatkowo podkreślić należy, iż w projekcie ustawy nie przewidziano żadnej procedury – w razie wystąpienia omawianej wyżej sytuacji – mającej na celu wskazanie podmiotowi, który skierował wniosek, właściwego sposobu, w jaki mógłby uzyskać żądane informacje. Należy zauważyć, iż zgodnie z</w:t>
            </w:r>
            <w:r w:rsidR="00915366" w:rsidRPr="00584929">
              <w:rPr>
                <w:rFonts w:ascii="Times New Roman" w:hAnsi="Times New Roman" w:cs="Times New Roman"/>
              </w:rPr>
              <w:t xml:space="preserve"> art. 14 ust. 1 ustawy z dnia 6 </w:t>
            </w:r>
            <w:r w:rsidRPr="00584929">
              <w:rPr>
                <w:rFonts w:ascii="Times New Roman" w:hAnsi="Times New Roman" w:cs="Times New Roman"/>
              </w:rPr>
              <w:t>września 2001 r. o dostępie do informacji publicznej (Dz. U. z 2019 r. poz. 1429 i 695), dalej: „u.d.i.p.”, udostępnianie informacji publicznej na</w:t>
            </w:r>
            <w:r w:rsidR="00915366" w:rsidRPr="00584929">
              <w:rPr>
                <w:rFonts w:ascii="Times New Roman" w:hAnsi="Times New Roman" w:cs="Times New Roman"/>
              </w:rPr>
              <w:t xml:space="preserve"> wniosek następuje w sposób i w </w:t>
            </w:r>
            <w:r w:rsidRPr="00584929">
              <w:rPr>
                <w:rFonts w:ascii="Times New Roman" w:hAnsi="Times New Roman" w:cs="Times New Roman"/>
              </w:rPr>
              <w:t>formie zgodnych z wnioskiem, chyba że środki techniczne, którymi dysponuje podmiot obowiązany do udostępnienia, nie umożliw</w:t>
            </w:r>
            <w:r w:rsidR="00915366" w:rsidRPr="00584929">
              <w:rPr>
                <w:rFonts w:ascii="Times New Roman" w:hAnsi="Times New Roman" w:cs="Times New Roman"/>
              </w:rPr>
              <w:t>iają udostępnienia informacji w </w:t>
            </w:r>
            <w:r w:rsidRPr="00584929">
              <w:rPr>
                <w:rFonts w:ascii="Times New Roman" w:hAnsi="Times New Roman" w:cs="Times New Roman"/>
              </w:rPr>
              <w:t>sposób i w formie określonych we wniosku. W myśl natomiast art. 14 ust. 2 u.d.i.p. jeżeli informacja publiczna nie może być udostępniona w sposób lub w formie określonych we wniosku, podmiot obowiązany do udostępnienia powiadamia pisemnie wnioskodawcę o przyczynach braku możliwości udostępnienia informacji zgodnie z</w:t>
            </w:r>
            <w:r w:rsidR="00915366" w:rsidRPr="00584929">
              <w:rPr>
                <w:rFonts w:ascii="Times New Roman" w:hAnsi="Times New Roman" w:cs="Times New Roman"/>
              </w:rPr>
              <w:t> </w:t>
            </w:r>
            <w:r w:rsidRPr="00584929">
              <w:rPr>
                <w:rFonts w:ascii="Times New Roman" w:hAnsi="Times New Roman" w:cs="Times New Roman"/>
              </w:rPr>
              <w:t>wnioskiem i wskazuje, w jaki sposób lub w jakiej formie informacja może być udostępniona niezwłoczn</w:t>
            </w:r>
            <w:r w:rsidR="0089283C" w:rsidRPr="00584929">
              <w:rPr>
                <w:rFonts w:ascii="Times New Roman" w:hAnsi="Times New Roman" w:cs="Times New Roman"/>
              </w:rPr>
              <w:t>ie. W takim przypadku, jeżeli w </w:t>
            </w:r>
            <w:r w:rsidRPr="00584929">
              <w:rPr>
                <w:rFonts w:ascii="Times New Roman" w:hAnsi="Times New Roman" w:cs="Times New Roman"/>
              </w:rPr>
              <w:t>terminie 14 dni od powiadomienia wnioskodawca nie złoży wniosku o udostępn</w:t>
            </w:r>
            <w:r w:rsidR="0089283C" w:rsidRPr="00584929">
              <w:rPr>
                <w:rFonts w:ascii="Times New Roman" w:hAnsi="Times New Roman" w:cs="Times New Roman"/>
              </w:rPr>
              <w:t>ienie informacji w sposób lub w </w:t>
            </w:r>
            <w:r w:rsidRPr="00584929">
              <w:rPr>
                <w:rFonts w:ascii="Times New Roman" w:hAnsi="Times New Roman" w:cs="Times New Roman"/>
              </w:rPr>
              <w:t xml:space="preserve">formie wskazanych </w:t>
            </w:r>
            <w:r w:rsidR="0089283C" w:rsidRPr="00584929">
              <w:rPr>
                <w:rFonts w:ascii="Times New Roman" w:hAnsi="Times New Roman" w:cs="Times New Roman"/>
              </w:rPr>
              <w:t>w powiadomieniu, postępowanie o </w:t>
            </w:r>
            <w:r w:rsidRPr="00584929">
              <w:rPr>
                <w:rFonts w:ascii="Times New Roman" w:hAnsi="Times New Roman" w:cs="Times New Roman"/>
              </w:rPr>
              <w:t xml:space="preserve">udostępnienie informacji umarza się. W doktrynie prawa (zob. Kamińska I., </w:t>
            </w:r>
            <w:r w:rsidR="00915366" w:rsidRPr="00584929">
              <w:rPr>
                <w:rFonts w:ascii="Times New Roman" w:hAnsi="Times New Roman" w:cs="Times New Roman"/>
              </w:rPr>
              <w:t>Rozbicka-Ostrowska M., Ustawa o </w:t>
            </w:r>
            <w:r w:rsidRPr="00584929">
              <w:rPr>
                <w:rFonts w:ascii="Times New Roman" w:hAnsi="Times New Roman" w:cs="Times New Roman"/>
              </w:rPr>
              <w:t>dostępie do informacji publicznej. Komentarz, Lex) wskazuje się, że w powiadomieniu, o</w:t>
            </w:r>
            <w:r w:rsidR="0089283C" w:rsidRPr="00584929">
              <w:rPr>
                <w:rFonts w:ascii="Times New Roman" w:hAnsi="Times New Roman" w:cs="Times New Roman"/>
              </w:rPr>
              <w:t xml:space="preserve"> którym mowa w art. 14 u.d.i.p.</w:t>
            </w:r>
            <w:r w:rsidRPr="00584929">
              <w:rPr>
                <w:rFonts w:ascii="Times New Roman" w:hAnsi="Times New Roman" w:cs="Times New Roman"/>
              </w:rPr>
              <w:t xml:space="preserve"> podmiot zobowiązany do udzielenia informacji publicznej powinien wnioskodawcę wyłącznie poinformować o tym, że nie dysponuje odpowiednimi środkami technicznymi, i zapytać, czy w </w:t>
            </w:r>
            <w:r w:rsidR="00915366" w:rsidRPr="00584929">
              <w:rPr>
                <w:rFonts w:ascii="Times New Roman" w:hAnsi="Times New Roman" w:cs="Times New Roman"/>
              </w:rPr>
              <w:t>takiej sytuacji zaproponowany w </w:t>
            </w:r>
            <w:r w:rsidRPr="00584929">
              <w:rPr>
                <w:rFonts w:ascii="Times New Roman" w:hAnsi="Times New Roman" w:cs="Times New Roman"/>
              </w:rPr>
              <w:t xml:space="preserve">powiadomieniu sposób i forma jej </w:t>
            </w:r>
            <w:r w:rsidRPr="00584929">
              <w:rPr>
                <w:rFonts w:ascii="Times New Roman" w:hAnsi="Times New Roman" w:cs="Times New Roman"/>
              </w:rPr>
              <w:lastRenderedPageBreak/>
              <w:t>udzielenia satysfakcj</w:t>
            </w:r>
            <w:r w:rsidR="0089283C" w:rsidRPr="00584929">
              <w:rPr>
                <w:rFonts w:ascii="Times New Roman" w:hAnsi="Times New Roman" w:cs="Times New Roman"/>
              </w:rPr>
              <w:t>onują wnioskodawcę (wyrok WSA w </w:t>
            </w:r>
            <w:r w:rsidRPr="00584929">
              <w:rPr>
                <w:rFonts w:ascii="Times New Roman" w:hAnsi="Times New Roman" w:cs="Times New Roman"/>
              </w:rPr>
              <w:t xml:space="preserve">Warszawie z 19 lutego 2008 r., II SA/Wa 1907/07, LEX nr 506539). Powiadomienie należy kwalifikować jako czynność materialno-techniczną, zmierzającą bezpośrednio do udzielenia informacji bądź umorzenia postępowania w zależności od stanowiska strony (zob. wyrok NSA z 9 października 2012 r., I OSK 1682/12, LEX nr 1233164). Do skuteczności działania podjętego w trybie art. 14 ust. 2 u.d.i.p. wymagane jest po pierwsze, podanie przyczyn braku możliwości </w:t>
            </w:r>
            <w:r w:rsidR="00915366" w:rsidRPr="00584929">
              <w:rPr>
                <w:rFonts w:ascii="Times New Roman" w:hAnsi="Times New Roman" w:cs="Times New Roman"/>
              </w:rPr>
              <w:t>udzielenia informacji zgodnie z </w:t>
            </w:r>
            <w:r w:rsidRPr="00584929">
              <w:rPr>
                <w:rFonts w:ascii="Times New Roman" w:hAnsi="Times New Roman" w:cs="Times New Roman"/>
              </w:rPr>
              <w:t>wnioskiem, z jednoczesnym wskaz</w:t>
            </w:r>
            <w:r w:rsidR="0089283C" w:rsidRPr="00584929">
              <w:rPr>
                <w:rFonts w:ascii="Times New Roman" w:hAnsi="Times New Roman" w:cs="Times New Roman"/>
              </w:rPr>
              <w:t>aniem sposobu i </w:t>
            </w:r>
            <w:r w:rsidRPr="00584929">
              <w:rPr>
                <w:rFonts w:ascii="Times New Roman" w:hAnsi="Times New Roman" w:cs="Times New Roman"/>
              </w:rPr>
              <w:t xml:space="preserve">formy, w jakiej informacja może być udostępniona, a po drugie, wskazanie 14-dniowego terminu, w którym wnioskodawca powinien zająć stanowisko co do wskazanego sposobu </w:t>
            </w:r>
            <w:r w:rsidR="00915366" w:rsidRPr="00584929">
              <w:rPr>
                <w:rFonts w:ascii="Times New Roman" w:hAnsi="Times New Roman" w:cs="Times New Roman"/>
              </w:rPr>
              <w:t>udzielenia informacji, z </w:t>
            </w:r>
            <w:r w:rsidRPr="00584929">
              <w:rPr>
                <w:rFonts w:ascii="Times New Roman" w:hAnsi="Times New Roman" w:cs="Times New Roman"/>
              </w:rPr>
              <w:t>pouczeniem o skutkach w postaci umorzenia postępowania. Opatrzenie omawianego powiadomienia rygorem i terminem na jego realizację determinuje nie tylko dalsze czynności podmiotu zobowiązanego, ale świadczy też o skuteczności wystosowanego do wnioskodawcy powiadomienia. Jeśli więc powiadomienie, o którym mowa wyżej, zostanie doręczone wnioskodawcy i od daty jego doręczenia upłynie 14-dnio</w:t>
            </w:r>
            <w:r w:rsidR="0089283C" w:rsidRPr="00584929">
              <w:rPr>
                <w:rFonts w:ascii="Times New Roman" w:hAnsi="Times New Roman" w:cs="Times New Roman"/>
              </w:rPr>
              <w:t>wy termin do złożenia wniosku o </w:t>
            </w:r>
            <w:r w:rsidRPr="00584929">
              <w:rPr>
                <w:rFonts w:ascii="Times New Roman" w:hAnsi="Times New Roman" w:cs="Times New Roman"/>
              </w:rPr>
              <w:t>udzielenie informacji w sposób lub w formie podanych w tym powiadomieniu, to obowiązkiem organu jest wydanie decyzji o umorzeniu postępowa</w:t>
            </w:r>
            <w:r w:rsidR="0089283C" w:rsidRPr="00584929">
              <w:rPr>
                <w:rFonts w:ascii="Times New Roman" w:hAnsi="Times New Roman" w:cs="Times New Roman"/>
              </w:rPr>
              <w:t>nia o </w:t>
            </w:r>
            <w:r w:rsidRPr="00584929">
              <w:rPr>
                <w:rFonts w:ascii="Times New Roman" w:hAnsi="Times New Roman" w:cs="Times New Roman"/>
              </w:rPr>
              <w:t>udostępnienie informacji publicznej (art. 16 ust. 1 u.d.i.p.). Decyzja taka kończy postępowanie w pierwszej instancji i otwiera drogę do</w:t>
            </w:r>
            <w:r w:rsidR="00915366" w:rsidRPr="00584929">
              <w:rPr>
                <w:rFonts w:ascii="Times New Roman" w:hAnsi="Times New Roman" w:cs="Times New Roman"/>
              </w:rPr>
              <w:t xml:space="preserve"> postępowania odwoławczego, a w </w:t>
            </w:r>
            <w:r w:rsidRPr="00584929">
              <w:rPr>
                <w:rFonts w:ascii="Times New Roman" w:hAnsi="Times New Roman" w:cs="Times New Roman"/>
              </w:rPr>
              <w:t xml:space="preserve">dalszej kolejności – przed sądami administracyjnymi (zob. wyrok WSA w Rzeszowie z </w:t>
            </w:r>
            <w:r w:rsidR="0089283C" w:rsidRPr="00584929">
              <w:rPr>
                <w:rFonts w:ascii="Times New Roman" w:hAnsi="Times New Roman" w:cs="Times New Roman"/>
              </w:rPr>
              <w:t>4 sierpnia 2004 r., II </w:t>
            </w:r>
            <w:r w:rsidRPr="00584929">
              <w:rPr>
                <w:rFonts w:ascii="Times New Roman" w:hAnsi="Times New Roman" w:cs="Times New Roman"/>
              </w:rPr>
              <w:t>SAB/Rz 25/04, LEX nr 826938). Biorąc powyższe pod uwagę, pod rozwa</w:t>
            </w:r>
            <w:r w:rsidR="0089283C" w:rsidRPr="00584929">
              <w:rPr>
                <w:rFonts w:ascii="Times New Roman" w:hAnsi="Times New Roman" w:cs="Times New Roman"/>
              </w:rPr>
              <w:t>gę należy poddać wprowadzenie w </w:t>
            </w:r>
            <w:r w:rsidRPr="00584929">
              <w:rPr>
                <w:rFonts w:ascii="Times New Roman" w:hAnsi="Times New Roman" w:cs="Times New Roman"/>
              </w:rPr>
              <w:t>projekcie ustawy zmian legislacyjnych, dotyczących ustanowienia bardziej precyzyjnej przesł</w:t>
            </w:r>
            <w:r w:rsidR="00915366" w:rsidRPr="00584929">
              <w:rPr>
                <w:rFonts w:ascii="Times New Roman" w:hAnsi="Times New Roman" w:cs="Times New Roman"/>
              </w:rPr>
              <w:t xml:space="preserve">anki, która </w:t>
            </w:r>
            <w:r w:rsidR="00915366" w:rsidRPr="00584929">
              <w:rPr>
                <w:rFonts w:ascii="Times New Roman" w:hAnsi="Times New Roman" w:cs="Times New Roman"/>
              </w:rPr>
              <w:lastRenderedPageBreak/>
              <w:t>zwalniałaby organ z </w:t>
            </w:r>
            <w:r w:rsidRPr="00584929">
              <w:rPr>
                <w:rFonts w:ascii="Times New Roman" w:hAnsi="Times New Roman" w:cs="Times New Roman"/>
              </w:rPr>
              <w:t>obowiązku tworzenia informacji sektora publicznego, ich przetwarzania w sposób lub w</w:t>
            </w:r>
            <w:r w:rsidR="0089283C" w:rsidRPr="00584929">
              <w:rPr>
                <w:rFonts w:ascii="Times New Roman" w:hAnsi="Times New Roman" w:cs="Times New Roman"/>
              </w:rPr>
              <w:t> </w:t>
            </w:r>
            <w:r w:rsidRPr="00584929">
              <w:rPr>
                <w:rFonts w:ascii="Times New Roman" w:hAnsi="Times New Roman" w:cs="Times New Roman"/>
              </w:rPr>
              <w:t>formie wskazanych we wniosku o ponowne wykorzystywanie oraz</w:t>
            </w:r>
            <w:r w:rsidR="0089283C" w:rsidRPr="00584929">
              <w:rPr>
                <w:rFonts w:ascii="Times New Roman" w:hAnsi="Times New Roman" w:cs="Times New Roman"/>
              </w:rPr>
              <w:t xml:space="preserve"> sporządzania z nich wyciągów w </w:t>
            </w:r>
            <w:r w:rsidRPr="00584929">
              <w:rPr>
                <w:rFonts w:ascii="Times New Roman" w:hAnsi="Times New Roman" w:cs="Times New Roman"/>
              </w:rPr>
              <w:t>sytuacji, gdy środki techniczne, którymi dysponuje podmiot obowiązany nie umożliwiają udostępnienia informacji w sposób i w formie określonych we wniosku. Należałoby również rozważyć w takiej sytuacji wprowadzenie regulacji przewidującej, że podmiot obowiązany do udostępnienia byłby zobligowany do pisemnego powiadamia wnioskodawcy o przyczynach braku możliwości udo</w:t>
            </w:r>
            <w:r w:rsidR="00915366" w:rsidRPr="00584929">
              <w:rPr>
                <w:rFonts w:ascii="Times New Roman" w:hAnsi="Times New Roman" w:cs="Times New Roman"/>
              </w:rPr>
              <w:t>stępnienia informacji zgodnie z </w:t>
            </w:r>
            <w:r w:rsidRPr="00584929">
              <w:rPr>
                <w:rFonts w:ascii="Times New Roman" w:hAnsi="Times New Roman" w:cs="Times New Roman"/>
              </w:rPr>
              <w:t>wnioskiem i wskazania, w jaki sposób lub w jakiej formie informacja może być udostępniona niezwłocznie. Dopiero w sytuacji, gdy wnioskodawca nie skorzystałby ze wskazanego sposobu udostępnienia informacji, organ wydawałby decyzję o umorzeniu postępowania.</w:t>
            </w:r>
          </w:p>
        </w:tc>
        <w:tc>
          <w:tcPr>
            <w:tcW w:w="4785" w:type="dxa"/>
            <w:shd w:val="clear" w:color="auto" w:fill="auto"/>
          </w:tcPr>
          <w:p w14:paraId="0CEA9333" w14:textId="5B8B1A1D" w:rsidR="002B1E0D" w:rsidRPr="00584929" w:rsidRDefault="0089283C" w:rsidP="002B1E0D">
            <w:pPr>
              <w:rPr>
                <w:rFonts w:ascii="Times New Roman" w:hAnsi="Times New Roman" w:cs="Times New Roman"/>
                <w:b/>
              </w:rPr>
            </w:pPr>
            <w:r w:rsidRPr="00584929">
              <w:rPr>
                <w:rFonts w:ascii="Times New Roman" w:hAnsi="Times New Roman" w:cs="Times New Roman"/>
                <w:b/>
              </w:rPr>
              <w:lastRenderedPageBreak/>
              <w:t xml:space="preserve">Uwaga uwzględniona częściowo </w:t>
            </w:r>
          </w:p>
          <w:p w14:paraId="6CCE1CF5" w14:textId="77777777" w:rsidR="00020884" w:rsidRPr="00020884" w:rsidRDefault="00020884" w:rsidP="00020884">
            <w:pPr>
              <w:spacing w:line="259" w:lineRule="auto"/>
              <w:jc w:val="both"/>
              <w:rPr>
                <w:rFonts w:ascii="Times New Roman" w:hAnsi="Times New Roman" w:cs="Times New Roman"/>
              </w:rPr>
            </w:pPr>
            <w:r w:rsidRPr="00020884">
              <w:rPr>
                <w:rFonts w:ascii="Times New Roman" w:hAnsi="Times New Roman" w:cs="Times New Roman"/>
              </w:rPr>
              <w:t xml:space="preserve">1. Uwaga nieuwzględniona. </w:t>
            </w:r>
          </w:p>
          <w:p w14:paraId="3A39C8D5" w14:textId="77777777" w:rsidR="00020884" w:rsidRPr="00020884" w:rsidRDefault="00020884" w:rsidP="00020884">
            <w:pPr>
              <w:spacing w:line="259" w:lineRule="auto"/>
              <w:jc w:val="both"/>
              <w:rPr>
                <w:rFonts w:ascii="Times New Roman" w:hAnsi="Times New Roman" w:cs="Times New Roman"/>
              </w:rPr>
            </w:pPr>
            <w:r w:rsidRPr="00020884">
              <w:rPr>
                <w:rFonts w:ascii="Times New Roman" w:hAnsi="Times New Roman" w:cs="Times New Roman"/>
              </w:rPr>
              <w:t>Uwaga dot. wprowadzenie „bardziej precyzyjnej przesłanki, która zwalniałaby organ z obowiązku tworzenia ISP, ich przetwarzania w sposób lub w formie wskazanych we wniosku o ponowne wykorzystywanie oraz sporządzania z nich wyciągów w sytuacji, gdy środki techniczne, którymi dysponuje podmiot obowiązany nie umożliwiają udostępnienia informacji w sposób i w formie określonych we wniosku”.</w:t>
            </w:r>
          </w:p>
          <w:p w14:paraId="55DA6786" w14:textId="77777777" w:rsidR="00020884" w:rsidRPr="00020884" w:rsidRDefault="00020884" w:rsidP="00020884">
            <w:pPr>
              <w:spacing w:line="259" w:lineRule="auto"/>
              <w:jc w:val="both"/>
              <w:rPr>
                <w:rFonts w:ascii="Times New Roman" w:hAnsi="Times New Roman" w:cs="Times New Roman"/>
              </w:rPr>
            </w:pPr>
          </w:p>
          <w:p w14:paraId="36C258D8" w14:textId="77777777" w:rsidR="00020884" w:rsidRPr="00020884" w:rsidRDefault="00020884" w:rsidP="00020884">
            <w:pPr>
              <w:spacing w:line="259" w:lineRule="auto"/>
              <w:jc w:val="both"/>
              <w:rPr>
                <w:rFonts w:ascii="Times New Roman" w:hAnsi="Times New Roman" w:cs="Times New Roman"/>
              </w:rPr>
            </w:pPr>
            <w:r w:rsidRPr="00020884">
              <w:rPr>
                <w:rFonts w:ascii="Times New Roman" w:hAnsi="Times New Roman" w:cs="Times New Roman"/>
              </w:rPr>
              <w:t xml:space="preserve">Wyjaśnienie wstępne: art. 10 ust. 3 projektu ustawy (w wersji projektu po konferencji uzgodnieniowej – art. 10 ust. 4) jest tożsamy z art. 10 ust. 2 obecnie </w:t>
            </w:r>
            <w:r w:rsidRPr="00020884">
              <w:rPr>
                <w:rFonts w:ascii="Times New Roman" w:hAnsi="Times New Roman" w:cs="Times New Roman"/>
              </w:rPr>
              <w:lastRenderedPageBreak/>
              <w:t>obowiązującej ustawy z dnia 25 lutego 2016 r. (Dz. U. z 2019 r. poz. 1446).</w:t>
            </w:r>
          </w:p>
          <w:p w14:paraId="58D73627" w14:textId="77777777" w:rsidR="00020884" w:rsidRPr="00020884" w:rsidRDefault="00020884" w:rsidP="00020884">
            <w:pPr>
              <w:spacing w:line="259" w:lineRule="auto"/>
              <w:jc w:val="both"/>
              <w:rPr>
                <w:rFonts w:ascii="Times New Roman" w:hAnsi="Times New Roman" w:cs="Times New Roman"/>
              </w:rPr>
            </w:pPr>
            <w:r w:rsidRPr="00020884">
              <w:rPr>
                <w:rFonts w:ascii="Times New Roman" w:hAnsi="Times New Roman" w:cs="Times New Roman"/>
              </w:rPr>
              <w:t xml:space="preserve">Art. 10 ust. 3 projektu ustawy (art. 10 ust. 4) implementuje art. 5 ust. 3 dyrektywy 2019/1024/UE, zgodnie z którym organy  sektora publicznego nie są zobowiązane do tworzenia czy dostosowywania dokumentów (ISP) ani dostarczania wyciągów  w  przypadku gdy  wymagałoby to nieproporcjonalnie dużego wysiłku, wykraczającego poza prostą czynność. </w:t>
            </w:r>
          </w:p>
          <w:p w14:paraId="53454E48" w14:textId="77777777" w:rsidR="00020884" w:rsidRPr="00020884" w:rsidRDefault="00020884" w:rsidP="00020884">
            <w:pPr>
              <w:spacing w:line="259" w:lineRule="auto"/>
              <w:jc w:val="both"/>
              <w:rPr>
                <w:rFonts w:ascii="Times New Roman" w:hAnsi="Times New Roman" w:cs="Times New Roman"/>
              </w:rPr>
            </w:pPr>
            <w:r w:rsidRPr="00020884">
              <w:rPr>
                <w:rFonts w:ascii="Times New Roman" w:hAnsi="Times New Roman" w:cs="Times New Roman"/>
              </w:rPr>
              <w:t xml:space="preserve">Podmiot zobowiązany na podstawie art. 10 ust. 3 projektu ustawy (art. 10 ust. 4) nie jest zobligowany do tworzenia ISP, ich przetwarzania w sposób lub w formie wskazanych we wniosku o ponowne wykorzystywanie oraz sporządzania z nich wyciągów, jeżeli spowoduje to konieczność podjęcia nieproporcjonalnych działań przekraczających proste czynności. Ocena, czy czynności, które należałoby podjąć w celu opracowania/przygotowania ISP w sposób wskazany we wniosku wiążą się/wiązałby się z koniecznością podjęcia nieproporcjonalnych działań przekraczających proste czynności, należy do podmiotu zobowiązanego. </w:t>
            </w:r>
          </w:p>
          <w:p w14:paraId="24D91160" w14:textId="77777777" w:rsidR="00020884" w:rsidRPr="00020884" w:rsidRDefault="00020884" w:rsidP="00020884">
            <w:pPr>
              <w:spacing w:line="259" w:lineRule="auto"/>
              <w:jc w:val="both"/>
              <w:rPr>
                <w:rFonts w:ascii="Times New Roman" w:hAnsi="Times New Roman" w:cs="Times New Roman"/>
              </w:rPr>
            </w:pPr>
            <w:r w:rsidRPr="00020884">
              <w:rPr>
                <w:rFonts w:ascii="Times New Roman" w:hAnsi="Times New Roman" w:cs="Times New Roman"/>
              </w:rPr>
              <w:t xml:space="preserve">W omawianym przypadku za konieczne należy uznać pozostawienie dysponentom danych pewnego zakresu swobody w ocenie, czy w określonym przypadku zachodzić będą przesłanki, o których mowa w art. 10 ust. 3 projektu ustawy (art. 10 ust. 4). Powyższe wiązać należy ze zróżnicowaniem poszczególnych przypadków/spraw, w ramach których dochodzi do przekazywania ISP do ponownego wykorzystywania. Każda tego rodzaju </w:t>
            </w:r>
            <w:r w:rsidRPr="00020884">
              <w:rPr>
                <w:rFonts w:ascii="Times New Roman" w:hAnsi="Times New Roman" w:cs="Times New Roman"/>
              </w:rPr>
              <w:lastRenderedPageBreak/>
              <w:t xml:space="preserve">sprawa powinna być rozpatrywana indywidualnie z uwzględnieniem czynników, które mogą mieć wpływ na proces rozpytywania wniosku, np. warunki techniczne, którymi dysponuje podmiot zobowiązany, system teleinformatyczny, w którym gromadzone są dane, format i rodzaj danych, zakres koniecznych operacji na danych itd. Zróżnicowanie potencjalnych czynników, które mogą wpływać na sposób rozpatrywania wniosku, nie pozwala na sprecyzowania bardziej szczegółowych przesłanek, którymi kierować powinien się podmiot zobowiązany. W tym zakresie niezbędne jest pozostawienie swobody decyzyjnej dysponentom danych. </w:t>
            </w:r>
          </w:p>
          <w:p w14:paraId="367C54F6" w14:textId="77777777" w:rsidR="00020884" w:rsidRPr="00020884" w:rsidRDefault="00020884" w:rsidP="00020884">
            <w:pPr>
              <w:spacing w:line="259" w:lineRule="auto"/>
              <w:jc w:val="both"/>
              <w:rPr>
                <w:rFonts w:ascii="Times New Roman" w:hAnsi="Times New Roman" w:cs="Times New Roman"/>
              </w:rPr>
            </w:pPr>
            <w:r w:rsidRPr="00020884">
              <w:rPr>
                <w:rFonts w:ascii="Times New Roman" w:hAnsi="Times New Roman" w:cs="Times New Roman"/>
              </w:rPr>
              <w:t xml:space="preserve">Należy dodatkowo wskazać, że przedmiotowa uwaga została w części uwzględniona (zob. pkt 2). Projektodawca wprowadzi do przepisów ustawy dodatkową procedurę, zgodnie z którą w sytuacji, o której mowa w art. 10 ust. 3 (art. 10 ust.4), podmiot zobowiązany będzie zobligowany do poinformowania  o przyczynach braku możliwości przekazania ISP (w sposób wskazany we wniosku) i wskazania w jaki sposób lub w jakiej formie ISP może zostać przekazana. Wnioskodawca będzie mógł przyjąć ofertę podmiotu zobowiązanego lub ją odrzucić (złożyć sprzeciw). W przypadku złożenia sprzeciwu – zostanie wydana decyzja o odmowie wyrażenia zgody na ponowne wykorzystywanie ISP. </w:t>
            </w:r>
          </w:p>
          <w:p w14:paraId="5AD426F9" w14:textId="77777777" w:rsidR="00020884" w:rsidRPr="00020884" w:rsidRDefault="00020884" w:rsidP="00020884">
            <w:pPr>
              <w:spacing w:line="259" w:lineRule="auto"/>
              <w:jc w:val="both"/>
              <w:rPr>
                <w:rFonts w:ascii="Times New Roman" w:hAnsi="Times New Roman" w:cs="Times New Roman"/>
              </w:rPr>
            </w:pPr>
          </w:p>
          <w:p w14:paraId="17E814D9" w14:textId="77777777" w:rsidR="00020884" w:rsidRPr="00020884" w:rsidRDefault="00020884" w:rsidP="00020884">
            <w:pPr>
              <w:spacing w:line="259" w:lineRule="auto"/>
              <w:ind w:left="-43"/>
              <w:jc w:val="both"/>
              <w:rPr>
                <w:rFonts w:ascii="Times New Roman" w:hAnsi="Times New Roman" w:cs="Times New Roman"/>
              </w:rPr>
            </w:pPr>
            <w:r w:rsidRPr="00020884">
              <w:rPr>
                <w:rFonts w:ascii="Times New Roman" w:hAnsi="Times New Roman" w:cs="Times New Roman"/>
              </w:rPr>
              <w:t xml:space="preserve">2. Uwaga uwzględniona. </w:t>
            </w:r>
          </w:p>
          <w:p w14:paraId="3D747C02" w14:textId="77777777" w:rsidR="00020884" w:rsidRPr="00020884" w:rsidRDefault="00020884" w:rsidP="00020884">
            <w:pPr>
              <w:spacing w:after="160" w:line="259" w:lineRule="auto"/>
              <w:ind w:left="-43"/>
              <w:jc w:val="both"/>
              <w:rPr>
                <w:rFonts w:ascii="Times New Roman" w:hAnsi="Times New Roman" w:cs="Times New Roman"/>
              </w:rPr>
            </w:pPr>
            <w:r w:rsidRPr="00020884">
              <w:rPr>
                <w:rFonts w:ascii="Times New Roman" w:hAnsi="Times New Roman" w:cs="Times New Roman"/>
              </w:rPr>
              <w:t xml:space="preserve">Uwaga dot. wprowadzenia regulacji przewidującej, że podmiot zobowiązany byłby zobligowany do </w:t>
            </w:r>
            <w:r w:rsidRPr="00020884">
              <w:rPr>
                <w:rFonts w:ascii="Times New Roman" w:hAnsi="Times New Roman" w:cs="Times New Roman"/>
              </w:rPr>
              <w:lastRenderedPageBreak/>
              <w:t>pisemnego powiadamia wnioskodawcy o przyczynach braku możliwości przekazania informacji zgodnie z wnioskiem i wskazania, w jaki sposób lub w jakiej formie informacja może być przekazana.</w:t>
            </w:r>
          </w:p>
          <w:p w14:paraId="38C634E4" w14:textId="77777777" w:rsidR="00020884" w:rsidRPr="00020884" w:rsidRDefault="00020884" w:rsidP="00020884">
            <w:pPr>
              <w:spacing w:after="160" w:line="259" w:lineRule="auto"/>
              <w:ind w:left="-43"/>
              <w:jc w:val="both"/>
              <w:rPr>
                <w:rFonts w:ascii="Times New Roman" w:hAnsi="Times New Roman" w:cs="Times New Roman"/>
              </w:rPr>
            </w:pPr>
            <w:r w:rsidRPr="00020884">
              <w:rPr>
                <w:rFonts w:ascii="Times New Roman" w:hAnsi="Times New Roman" w:cs="Times New Roman"/>
              </w:rPr>
              <w:t xml:space="preserve">Właściwe przepisy zostaną wprowadzone w projekcie ustawy (rozdział 9). </w:t>
            </w:r>
          </w:p>
          <w:p w14:paraId="007668BB" w14:textId="5D009541" w:rsidR="009B2CC8" w:rsidRPr="00584929" w:rsidRDefault="009B2CC8" w:rsidP="001E2508">
            <w:pPr>
              <w:ind w:left="-43"/>
              <w:jc w:val="both"/>
              <w:rPr>
                <w:rFonts w:ascii="Times New Roman" w:hAnsi="Times New Roman" w:cs="Times New Roman"/>
              </w:rPr>
            </w:pPr>
          </w:p>
        </w:tc>
      </w:tr>
      <w:tr w:rsidR="009B2CC8" w:rsidRPr="00584929" w14:paraId="7CC18BF2" w14:textId="77777777" w:rsidTr="00D94ED7">
        <w:tc>
          <w:tcPr>
            <w:tcW w:w="676" w:type="dxa"/>
            <w:shd w:val="clear" w:color="auto" w:fill="auto"/>
          </w:tcPr>
          <w:p w14:paraId="51D79AC3" w14:textId="77777777" w:rsidR="009B2CC8" w:rsidRPr="00584929" w:rsidRDefault="009B2CC8" w:rsidP="004A29FC">
            <w:pPr>
              <w:pStyle w:val="Akapitzlist"/>
              <w:numPr>
                <w:ilvl w:val="0"/>
                <w:numId w:val="20"/>
              </w:numPr>
              <w:rPr>
                <w:sz w:val="22"/>
                <w:szCs w:val="22"/>
              </w:rPr>
            </w:pPr>
          </w:p>
        </w:tc>
        <w:tc>
          <w:tcPr>
            <w:tcW w:w="1968" w:type="dxa"/>
            <w:shd w:val="clear" w:color="auto" w:fill="auto"/>
          </w:tcPr>
          <w:p w14:paraId="5758FBFC" w14:textId="18FFF8FF" w:rsidR="009B2CC8" w:rsidRPr="00584929" w:rsidRDefault="009175CA" w:rsidP="004A29FC">
            <w:pPr>
              <w:rPr>
                <w:rFonts w:ascii="Times New Roman" w:hAnsi="Times New Roman" w:cs="Times New Roman"/>
              </w:rPr>
            </w:pPr>
            <w:r w:rsidRPr="00584929">
              <w:rPr>
                <w:rFonts w:ascii="Times New Roman" w:hAnsi="Times New Roman" w:cs="Times New Roman"/>
              </w:rPr>
              <w:t>Ministerstwo Rozwoju</w:t>
            </w:r>
          </w:p>
        </w:tc>
        <w:tc>
          <w:tcPr>
            <w:tcW w:w="1526" w:type="dxa"/>
            <w:shd w:val="clear" w:color="auto" w:fill="auto"/>
          </w:tcPr>
          <w:p w14:paraId="0BC7E7E3" w14:textId="1026A6B1" w:rsidR="009B2CC8" w:rsidRPr="00584929" w:rsidRDefault="009175CA" w:rsidP="004A29FC">
            <w:pPr>
              <w:rPr>
                <w:rFonts w:ascii="Times New Roman" w:hAnsi="Times New Roman" w:cs="Times New Roman"/>
              </w:rPr>
            </w:pPr>
            <w:r w:rsidRPr="00584929">
              <w:rPr>
                <w:rFonts w:ascii="Times New Roman" w:hAnsi="Times New Roman" w:cs="Times New Roman"/>
              </w:rPr>
              <w:t>Art. 10 ust. 4</w:t>
            </w:r>
          </w:p>
        </w:tc>
        <w:tc>
          <w:tcPr>
            <w:tcW w:w="5323" w:type="dxa"/>
            <w:shd w:val="clear" w:color="auto" w:fill="auto"/>
          </w:tcPr>
          <w:p w14:paraId="0F17B42D" w14:textId="7E7D6CA6" w:rsidR="009175CA" w:rsidRPr="00584929" w:rsidRDefault="009175CA" w:rsidP="000210A2">
            <w:pPr>
              <w:jc w:val="both"/>
              <w:rPr>
                <w:rFonts w:ascii="Times New Roman" w:hAnsi="Times New Roman" w:cs="Times New Roman"/>
              </w:rPr>
            </w:pPr>
            <w:r w:rsidRPr="00584929">
              <w:rPr>
                <w:rFonts w:ascii="Times New Roman" w:hAnsi="Times New Roman" w:cs="Times New Roman"/>
              </w:rPr>
              <w:t>W świetle powyższego przepisu podmiot zobowiązany może przekazać lub udostępniać do ponownego wykorzystywania kod źródłowy programu komputerowego opracowanego w ramach realizacji zadań publicznych. Należy wskazać, że samo udostępnienie kodu źródłowego może nie wystarczyć do prawidłowego korzystania z programu oraz jeg</w:t>
            </w:r>
            <w:r w:rsidR="004606C1" w:rsidRPr="00584929">
              <w:rPr>
                <w:rFonts w:ascii="Times New Roman" w:hAnsi="Times New Roman" w:cs="Times New Roman"/>
              </w:rPr>
              <w:t>o utrzymywania i </w:t>
            </w:r>
            <w:r w:rsidRPr="00584929">
              <w:rPr>
                <w:rFonts w:ascii="Times New Roman" w:hAnsi="Times New Roman" w:cs="Times New Roman"/>
              </w:rPr>
              <w:t>rozwijania, ponieważ niekiedy potrze</w:t>
            </w:r>
            <w:r w:rsidR="000210A2" w:rsidRPr="00584929">
              <w:rPr>
                <w:rFonts w:ascii="Times New Roman" w:hAnsi="Times New Roman" w:cs="Times New Roman"/>
              </w:rPr>
              <w:t>bna jest również dokumentacja i </w:t>
            </w:r>
            <w:r w:rsidRPr="00584929">
              <w:rPr>
                <w:rFonts w:ascii="Times New Roman" w:hAnsi="Times New Roman" w:cs="Times New Roman"/>
              </w:rPr>
              <w:t>pliki konfiguracyjne niezbędne do kompilacji. Trzeba zaznacz</w:t>
            </w:r>
            <w:r w:rsidR="004606C1" w:rsidRPr="00584929">
              <w:rPr>
                <w:rFonts w:ascii="Times New Roman" w:hAnsi="Times New Roman" w:cs="Times New Roman"/>
              </w:rPr>
              <w:t>yć, że ze względu na treść art. </w:t>
            </w:r>
            <w:r w:rsidRPr="00584929">
              <w:rPr>
                <w:rFonts w:ascii="Times New Roman" w:hAnsi="Times New Roman" w:cs="Times New Roman"/>
              </w:rPr>
              <w:t>6 ust. 4 pkt 6 komentowany przepis art. 10 ust. 4 stanowi wyjątek i powinien być odczytywany ściśle, dlatego zasadne jest uwzględnienie, oprócz kodu źródłowego, wszystkich elementów programu niezbędnych do korzystania z niego. Ponadto proponuje się rozważenie wprowadzenia obowiąz</w:t>
            </w:r>
            <w:r w:rsidR="004606C1" w:rsidRPr="00584929">
              <w:rPr>
                <w:rFonts w:ascii="Times New Roman" w:hAnsi="Times New Roman" w:cs="Times New Roman"/>
              </w:rPr>
              <w:t>ku udostępniania wytworzonych w </w:t>
            </w:r>
            <w:r w:rsidRPr="00584929">
              <w:rPr>
                <w:rFonts w:ascii="Times New Roman" w:hAnsi="Times New Roman" w:cs="Times New Roman"/>
              </w:rPr>
              <w:t xml:space="preserve">administracji programów komputerowych nadających się do zastosowań komercyjnych i mających istotną </w:t>
            </w:r>
            <w:r w:rsidRPr="00584929">
              <w:rPr>
                <w:rFonts w:ascii="Times New Roman" w:hAnsi="Times New Roman" w:cs="Times New Roman"/>
              </w:rPr>
              <w:lastRenderedPageBreak/>
              <w:t>wartość komercyjną. Wydaje się, że takie rozwiązanie przyniosłoby znaczną korzyść sektorowi prywatnemu, bez szkody dla interesu publicznego.</w:t>
            </w:r>
          </w:p>
        </w:tc>
        <w:tc>
          <w:tcPr>
            <w:tcW w:w="4785" w:type="dxa"/>
            <w:shd w:val="clear" w:color="auto" w:fill="auto"/>
          </w:tcPr>
          <w:p w14:paraId="1B200525" w14:textId="77777777" w:rsidR="009B2CC8" w:rsidRPr="00584929" w:rsidRDefault="009175CA" w:rsidP="004606C1">
            <w:pPr>
              <w:rPr>
                <w:rFonts w:ascii="Times New Roman" w:hAnsi="Times New Roman" w:cs="Times New Roman"/>
                <w:b/>
              </w:rPr>
            </w:pPr>
            <w:r w:rsidRPr="00584929">
              <w:rPr>
                <w:rFonts w:ascii="Times New Roman" w:hAnsi="Times New Roman" w:cs="Times New Roman"/>
                <w:b/>
              </w:rPr>
              <w:lastRenderedPageBreak/>
              <w:t xml:space="preserve">Uwaga </w:t>
            </w:r>
            <w:r w:rsidR="004606C1" w:rsidRPr="00584929">
              <w:rPr>
                <w:rFonts w:ascii="Times New Roman" w:hAnsi="Times New Roman" w:cs="Times New Roman"/>
                <w:b/>
              </w:rPr>
              <w:t>uwzględniona częściowo</w:t>
            </w:r>
          </w:p>
          <w:p w14:paraId="3C89113B" w14:textId="7DEF3BB8" w:rsidR="004606C1" w:rsidRPr="00584929" w:rsidRDefault="004606C1" w:rsidP="004606C1">
            <w:pPr>
              <w:jc w:val="both"/>
              <w:rPr>
                <w:rFonts w:ascii="Times New Roman" w:hAnsi="Times New Roman" w:cs="Times New Roman"/>
              </w:rPr>
            </w:pPr>
            <w:r w:rsidRPr="00584929">
              <w:rPr>
                <w:rFonts w:ascii="Times New Roman" w:hAnsi="Times New Roman" w:cs="Times New Roman"/>
              </w:rPr>
              <w:t>1. Uwaga dot. uwzględnienia w art. 10 ust. 4 projektu, oprócz kodu źródłowego, wszystkich elementów programu komputerowego.</w:t>
            </w:r>
          </w:p>
          <w:p w14:paraId="63B01056" w14:textId="57983E38" w:rsidR="004606C1" w:rsidRPr="00584929" w:rsidRDefault="004606C1" w:rsidP="004606C1">
            <w:pPr>
              <w:jc w:val="both"/>
              <w:rPr>
                <w:rFonts w:ascii="Times New Roman" w:hAnsi="Times New Roman" w:cs="Times New Roman"/>
              </w:rPr>
            </w:pPr>
            <w:r w:rsidRPr="00584929">
              <w:rPr>
                <w:rFonts w:ascii="Times New Roman" w:hAnsi="Times New Roman" w:cs="Times New Roman"/>
              </w:rPr>
              <w:t>Przepis zostanie zmieniony.</w:t>
            </w:r>
          </w:p>
          <w:p w14:paraId="05896B43" w14:textId="77777777" w:rsidR="000F0525" w:rsidRPr="00584929" w:rsidRDefault="000F0525" w:rsidP="004606C1">
            <w:pPr>
              <w:jc w:val="both"/>
              <w:rPr>
                <w:rFonts w:ascii="Times New Roman" w:hAnsi="Times New Roman" w:cs="Times New Roman"/>
              </w:rPr>
            </w:pPr>
          </w:p>
          <w:p w14:paraId="442A2002" w14:textId="7F9E3F29" w:rsidR="004606C1" w:rsidRPr="00584929" w:rsidRDefault="004606C1" w:rsidP="004606C1">
            <w:pPr>
              <w:jc w:val="both"/>
              <w:rPr>
                <w:rFonts w:ascii="Times New Roman" w:hAnsi="Times New Roman" w:cs="Times New Roman"/>
              </w:rPr>
            </w:pPr>
            <w:r w:rsidRPr="00584929">
              <w:rPr>
                <w:rFonts w:ascii="Times New Roman" w:hAnsi="Times New Roman" w:cs="Times New Roman"/>
              </w:rPr>
              <w:t>2. Uwaga dot. wprowadzenia obowiązku udostępniania wytworzonych w administracji programów komputerowych nadających się do zastosowań komercyjnych i mających istotną wartość komercyjną.</w:t>
            </w:r>
          </w:p>
          <w:p w14:paraId="7ADD8EEE" w14:textId="5C660166" w:rsidR="004606C1" w:rsidRPr="00584929" w:rsidRDefault="004606C1" w:rsidP="008E3831">
            <w:pPr>
              <w:jc w:val="both"/>
              <w:rPr>
                <w:rFonts w:ascii="Times New Roman" w:hAnsi="Times New Roman" w:cs="Times New Roman"/>
              </w:rPr>
            </w:pPr>
            <w:r w:rsidRPr="00584929">
              <w:rPr>
                <w:rFonts w:ascii="Times New Roman" w:hAnsi="Times New Roman" w:cs="Times New Roman"/>
              </w:rPr>
              <w:t xml:space="preserve">W projekcie ustawy ograniczono prawo do ponownego wykorzystywania w zakresie ISP stanowiących program komputerowy (art. 6 ust. 4 pkt 6). Wprowadzenie wskazanego ograniczenia związane jest z rozumieniem definicji „dokumentu” przyjętej na gruncie dyrektywy 1024/2019/UE. Zgodnie z motywem 30 preambuły </w:t>
            </w:r>
            <w:r w:rsidR="000F0525" w:rsidRPr="00584929">
              <w:rPr>
                <w:rFonts w:ascii="Times New Roman" w:hAnsi="Times New Roman" w:cs="Times New Roman"/>
              </w:rPr>
              <w:t xml:space="preserve">do </w:t>
            </w:r>
            <w:r w:rsidRPr="00584929">
              <w:rPr>
                <w:rFonts w:ascii="Times New Roman" w:hAnsi="Times New Roman" w:cs="Times New Roman"/>
              </w:rPr>
              <w:t xml:space="preserve">dyrektywy </w:t>
            </w:r>
            <w:r w:rsidRPr="00584929">
              <w:rPr>
                <w:rFonts w:ascii="Times New Roman" w:hAnsi="Times New Roman" w:cs="Times New Roman"/>
              </w:rPr>
              <w:lastRenderedPageBreak/>
              <w:t xml:space="preserve">definicja „dokumentu” wskazana w art. 2 pkt 6 dyrektywy nie obejmuje programów komputerowych. Jednocześnie jednak państwa członkowskie mogą rozszerzyć zakres stosowania dyrektywy na programy komputerowe. W związku z powyższym w art. 10 ust. 4 projektu ustawy wskazano możliwość </w:t>
            </w:r>
            <w:r w:rsidR="000F0525" w:rsidRPr="00584929">
              <w:rPr>
                <w:rFonts w:ascii="Times New Roman" w:hAnsi="Times New Roman" w:cs="Times New Roman"/>
              </w:rPr>
              <w:t>udostępnia</w:t>
            </w:r>
            <w:r w:rsidR="002E58A5" w:rsidRPr="00584929">
              <w:rPr>
                <w:rFonts w:ascii="Times New Roman" w:hAnsi="Times New Roman" w:cs="Times New Roman"/>
              </w:rPr>
              <w:t xml:space="preserve">nia </w:t>
            </w:r>
            <w:r w:rsidRPr="00584929">
              <w:rPr>
                <w:rFonts w:ascii="Times New Roman" w:hAnsi="Times New Roman" w:cs="Times New Roman"/>
              </w:rPr>
              <w:t xml:space="preserve">lub </w:t>
            </w:r>
            <w:r w:rsidR="002E58A5" w:rsidRPr="00584929">
              <w:rPr>
                <w:rFonts w:ascii="Times New Roman" w:hAnsi="Times New Roman" w:cs="Times New Roman"/>
              </w:rPr>
              <w:t xml:space="preserve">przekazywania </w:t>
            </w:r>
            <w:r w:rsidRPr="00584929">
              <w:rPr>
                <w:rFonts w:ascii="Times New Roman" w:hAnsi="Times New Roman" w:cs="Times New Roman"/>
              </w:rPr>
              <w:t>przez podmioty zobowiązane do ponownego wykorzystywania kodów źródłowych</w:t>
            </w:r>
            <w:r w:rsidR="002E58A5" w:rsidRPr="00584929">
              <w:rPr>
                <w:rFonts w:ascii="Times New Roman" w:hAnsi="Times New Roman" w:cs="Times New Roman"/>
              </w:rPr>
              <w:t xml:space="preserve"> (oraz innych elementów)</w:t>
            </w:r>
            <w:r w:rsidRPr="00584929">
              <w:rPr>
                <w:rFonts w:ascii="Times New Roman" w:hAnsi="Times New Roman" w:cs="Times New Roman"/>
              </w:rPr>
              <w:t xml:space="preserve"> programów komputerowych opracowanych w ramach realizacji zadań publicznych. Decyzja w </w:t>
            </w:r>
            <w:r w:rsidR="002E58A5" w:rsidRPr="00584929">
              <w:rPr>
                <w:rFonts w:ascii="Times New Roman" w:hAnsi="Times New Roman" w:cs="Times New Roman"/>
              </w:rPr>
              <w:t xml:space="preserve">tym </w:t>
            </w:r>
            <w:r w:rsidRPr="00584929">
              <w:rPr>
                <w:rFonts w:ascii="Times New Roman" w:hAnsi="Times New Roman" w:cs="Times New Roman"/>
              </w:rPr>
              <w:t>zakresie należeć będzie do podmiotu zobowiązanego.</w:t>
            </w:r>
            <w:r w:rsidR="002E58A5" w:rsidRPr="00584929">
              <w:rPr>
                <w:rFonts w:ascii="Times New Roman" w:hAnsi="Times New Roman" w:cs="Times New Roman"/>
              </w:rPr>
              <w:t xml:space="preserve"> </w:t>
            </w:r>
          </w:p>
          <w:p w14:paraId="1B67EB7B" w14:textId="44909674" w:rsidR="00A57EF0" w:rsidRPr="00584929" w:rsidRDefault="00A57EF0" w:rsidP="008E3831">
            <w:pPr>
              <w:jc w:val="both"/>
              <w:rPr>
                <w:rFonts w:ascii="Times New Roman" w:hAnsi="Times New Roman" w:cs="Times New Roman"/>
              </w:rPr>
            </w:pPr>
            <w:r w:rsidRPr="00584929">
              <w:rPr>
                <w:rFonts w:ascii="Times New Roman" w:hAnsi="Times New Roman" w:cs="Times New Roman"/>
              </w:rPr>
              <w:t>Wprowadzenie do projekt ustawy możliwości fakultatywnego przekazania lub udostępniania do ponownego wykorzystywania kodu źródłowego programu komputerowego jest nowym rozwiązaniem w obszarze regulacyjnym ponownego wykorzystywania. Mając jednak na uwadze przytoczone w uwadze argumenty (które należy uznać za trafne) niewykluczone, że w przyszłości zmiany w tym zakresie będą dalej idące.</w:t>
            </w:r>
          </w:p>
        </w:tc>
      </w:tr>
      <w:tr w:rsidR="009B2CC8" w:rsidRPr="00584929" w14:paraId="07D6ACA8" w14:textId="77777777" w:rsidTr="00D94ED7">
        <w:tc>
          <w:tcPr>
            <w:tcW w:w="676" w:type="dxa"/>
            <w:shd w:val="clear" w:color="auto" w:fill="auto"/>
          </w:tcPr>
          <w:p w14:paraId="69294EF4" w14:textId="0CA1D3CF" w:rsidR="009B2CC8" w:rsidRPr="00584929" w:rsidRDefault="009B2CC8" w:rsidP="004A29FC">
            <w:pPr>
              <w:pStyle w:val="Akapitzlist"/>
              <w:numPr>
                <w:ilvl w:val="0"/>
                <w:numId w:val="20"/>
              </w:numPr>
              <w:rPr>
                <w:sz w:val="22"/>
                <w:szCs w:val="22"/>
              </w:rPr>
            </w:pPr>
          </w:p>
        </w:tc>
        <w:tc>
          <w:tcPr>
            <w:tcW w:w="1968" w:type="dxa"/>
            <w:shd w:val="clear" w:color="auto" w:fill="auto"/>
          </w:tcPr>
          <w:p w14:paraId="70C6D7EE" w14:textId="73A42567" w:rsidR="009B2CC8" w:rsidRPr="00584929" w:rsidRDefault="009175CA" w:rsidP="004A29FC">
            <w:pPr>
              <w:rPr>
                <w:rFonts w:ascii="Times New Roman" w:hAnsi="Times New Roman" w:cs="Times New Roman"/>
              </w:rPr>
            </w:pPr>
            <w:r w:rsidRPr="00584929">
              <w:rPr>
                <w:rFonts w:ascii="Times New Roman" w:hAnsi="Times New Roman" w:cs="Times New Roman"/>
              </w:rPr>
              <w:t>Ministerstwo Gospodarki Morskiej i Żeglugi Śródlądowej</w:t>
            </w:r>
          </w:p>
        </w:tc>
        <w:tc>
          <w:tcPr>
            <w:tcW w:w="1526" w:type="dxa"/>
            <w:shd w:val="clear" w:color="auto" w:fill="auto"/>
          </w:tcPr>
          <w:p w14:paraId="1756B7E1" w14:textId="014ABDEC" w:rsidR="009B2CC8" w:rsidRPr="00584929" w:rsidRDefault="009175CA" w:rsidP="004A29FC">
            <w:pPr>
              <w:rPr>
                <w:rFonts w:ascii="Times New Roman" w:hAnsi="Times New Roman" w:cs="Times New Roman"/>
              </w:rPr>
            </w:pPr>
            <w:r w:rsidRPr="00584929">
              <w:rPr>
                <w:rFonts w:ascii="Times New Roman" w:hAnsi="Times New Roman" w:cs="Times New Roman"/>
              </w:rPr>
              <w:t xml:space="preserve">Art. 11 ust. 1 pkt 4  </w:t>
            </w:r>
          </w:p>
        </w:tc>
        <w:tc>
          <w:tcPr>
            <w:tcW w:w="5323" w:type="dxa"/>
            <w:shd w:val="clear" w:color="auto" w:fill="auto"/>
          </w:tcPr>
          <w:p w14:paraId="74D8F44C" w14:textId="6D9A9433" w:rsidR="009175CA" w:rsidRPr="00584929" w:rsidRDefault="009175CA" w:rsidP="000210A2">
            <w:pPr>
              <w:jc w:val="both"/>
              <w:rPr>
                <w:rFonts w:ascii="Times New Roman" w:hAnsi="Times New Roman" w:cs="Times New Roman"/>
              </w:rPr>
            </w:pPr>
            <w:r w:rsidRPr="00584929">
              <w:rPr>
                <w:rFonts w:ascii="Times New Roman" w:hAnsi="Times New Roman" w:cs="Times New Roman"/>
              </w:rPr>
              <w:t xml:space="preserve">Zgodnie z art. 9 ust. 2 projektu ustawy w przypadku, gdy prawidłowe wykonywanie zadań publicznych wymaga ograniczenia korzystania z informacji sektora publicznego przez innych użytkowników, podmiot zobowiązany może </w:t>
            </w:r>
            <w:r w:rsidR="000210A2" w:rsidRPr="00584929">
              <w:rPr>
                <w:rFonts w:ascii="Times New Roman" w:hAnsi="Times New Roman" w:cs="Times New Roman"/>
              </w:rPr>
              <w:t>zawrzeć z użytkownikiem umowę o </w:t>
            </w:r>
            <w:r w:rsidRPr="00584929">
              <w:rPr>
                <w:rFonts w:ascii="Times New Roman" w:hAnsi="Times New Roman" w:cs="Times New Roman"/>
              </w:rPr>
              <w:t xml:space="preserve">udzielenie wyłącznego prawa do </w:t>
            </w:r>
            <w:r w:rsidR="00CD1AFC" w:rsidRPr="00584929">
              <w:rPr>
                <w:rFonts w:ascii="Times New Roman" w:hAnsi="Times New Roman" w:cs="Times New Roman"/>
              </w:rPr>
              <w:t>korzystania z tej informacji. Z </w:t>
            </w:r>
            <w:r w:rsidRPr="00584929">
              <w:rPr>
                <w:rFonts w:ascii="Times New Roman" w:hAnsi="Times New Roman" w:cs="Times New Roman"/>
              </w:rPr>
              <w:t xml:space="preserve">uwagi na wykonywanie różnych zadań publicznych przez podmiot zobowiązany mogą wystąpić przypadki zawarcia przez jeden podmiot kilku ww. umów w zakresie dotyczącym odrębnych informacji. W myśl art. 11 ust. 1 pkt 4 projektu ustawy podmiot zobowiązany udostępnia na swojej stronie BIP umowę o udzielenie wyłącznego prawa do korzystania z informacji sektora publicznego, o której </w:t>
            </w:r>
            <w:r w:rsidRPr="00584929">
              <w:rPr>
                <w:rFonts w:ascii="Times New Roman" w:hAnsi="Times New Roman" w:cs="Times New Roman"/>
              </w:rPr>
              <w:lastRenderedPageBreak/>
              <w:t>mowa w art. 9 ust. 2. Jednak z uwagi na fakt, że podmiot zobowiązany może zawrzeć kilka umów zasadne byłoby doprecyzowanie w art. 11 ust. 1 pkt 4 projektu ustawy, że na stronie BIP udostępnia się listę przedmiotowych umów a nie jedną umowę, gdyż z obecnego brzmienia tego przepisu może wynikać, że zrealizowanie przedmiotowego obowiązku (udostępnienia na BIP informacji) nastąpi po udostępnieniu już jednej umowy, co nie będzie sprzyjało transparentności działalności organów publicznych.</w:t>
            </w:r>
          </w:p>
        </w:tc>
        <w:tc>
          <w:tcPr>
            <w:tcW w:w="4785" w:type="dxa"/>
            <w:shd w:val="clear" w:color="auto" w:fill="auto"/>
          </w:tcPr>
          <w:p w14:paraId="5E34619C" w14:textId="77777777" w:rsidR="009B2CC8" w:rsidRPr="00584929" w:rsidRDefault="009175CA" w:rsidP="004A29FC">
            <w:pPr>
              <w:rPr>
                <w:rFonts w:ascii="Times New Roman" w:hAnsi="Times New Roman" w:cs="Times New Roman"/>
                <w:b/>
              </w:rPr>
            </w:pPr>
            <w:r w:rsidRPr="00584929">
              <w:rPr>
                <w:rFonts w:ascii="Times New Roman" w:hAnsi="Times New Roman" w:cs="Times New Roman"/>
                <w:b/>
              </w:rPr>
              <w:lastRenderedPageBreak/>
              <w:t>Uwaga uwzględniona</w:t>
            </w:r>
          </w:p>
          <w:p w14:paraId="42210557" w14:textId="5CF16A03" w:rsidR="00CD1AFC" w:rsidRPr="00584929" w:rsidRDefault="00CD1AFC" w:rsidP="004A29FC">
            <w:pPr>
              <w:rPr>
                <w:rFonts w:ascii="Times New Roman" w:hAnsi="Times New Roman" w:cs="Times New Roman"/>
              </w:rPr>
            </w:pPr>
            <w:r w:rsidRPr="00584929">
              <w:rPr>
                <w:rFonts w:ascii="Times New Roman" w:hAnsi="Times New Roman" w:cs="Times New Roman"/>
              </w:rPr>
              <w:t xml:space="preserve">Przepis zostanie zmieniony. </w:t>
            </w:r>
          </w:p>
        </w:tc>
      </w:tr>
      <w:tr w:rsidR="000E14FE" w:rsidRPr="00584929" w14:paraId="2B7A9E18" w14:textId="77777777" w:rsidTr="00D94ED7">
        <w:tc>
          <w:tcPr>
            <w:tcW w:w="676" w:type="dxa"/>
            <w:shd w:val="clear" w:color="auto" w:fill="auto"/>
          </w:tcPr>
          <w:p w14:paraId="5AC8AC7F" w14:textId="77777777" w:rsidR="000E14FE" w:rsidRPr="00584929" w:rsidRDefault="000E14FE" w:rsidP="004A29FC">
            <w:pPr>
              <w:pStyle w:val="Akapitzlist"/>
              <w:numPr>
                <w:ilvl w:val="0"/>
                <w:numId w:val="20"/>
              </w:numPr>
              <w:rPr>
                <w:sz w:val="22"/>
                <w:szCs w:val="22"/>
              </w:rPr>
            </w:pPr>
          </w:p>
        </w:tc>
        <w:tc>
          <w:tcPr>
            <w:tcW w:w="1968" w:type="dxa"/>
            <w:shd w:val="clear" w:color="auto" w:fill="auto"/>
          </w:tcPr>
          <w:p w14:paraId="5F8E78FC" w14:textId="60BB7C2D" w:rsidR="000E14FE" w:rsidRPr="00584929" w:rsidRDefault="000E14FE"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77C452D4" w14:textId="520E34DB" w:rsidR="000E14FE" w:rsidRPr="00584929" w:rsidRDefault="000E14FE" w:rsidP="004A29FC">
            <w:pPr>
              <w:rPr>
                <w:rFonts w:ascii="Times New Roman" w:hAnsi="Times New Roman" w:cs="Times New Roman"/>
              </w:rPr>
            </w:pPr>
            <w:r w:rsidRPr="00584929">
              <w:rPr>
                <w:rFonts w:ascii="Times New Roman" w:hAnsi="Times New Roman" w:cs="Times New Roman"/>
              </w:rPr>
              <w:t>Art. 13</w:t>
            </w:r>
          </w:p>
        </w:tc>
        <w:tc>
          <w:tcPr>
            <w:tcW w:w="5323" w:type="dxa"/>
            <w:shd w:val="clear" w:color="auto" w:fill="auto"/>
          </w:tcPr>
          <w:p w14:paraId="41AA95D0" w14:textId="427B8E9B" w:rsidR="000E14FE" w:rsidRPr="00584929" w:rsidRDefault="000E14FE" w:rsidP="000F0525">
            <w:pPr>
              <w:jc w:val="both"/>
              <w:rPr>
                <w:rFonts w:ascii="Times New Roman" w:hAnsi="Times New Roman" w:cs="Times New Roman"/>
              </w:rPr>
            </w:pPr>
            <w:r w:rsidRPr="00584929">
              <w:rPr>
                <w:rFonts w:ascii="Times New Roman" w:hAnsi="Times New Roman" w:cs="Times New Roman"/>
              </w:rPr>
              <w:t>Dodatkowego wyjaśnienia wymaga charakter odpowiedzialności nałożony na podmiot zobowiązany na podstawie art. 13 projektu ustawy. Czy w przypadku naruszenia warunków udostępniania danych, o których mowa w tym przepisie podmiot zobowiązany będzie odpowiadał na zasadzie odpowiedzialności deliktowej za działanie władzy publicznej? Należy zauważyć, że przyjęcie konstrukcji, w której podmiot odpowiada zarówno za aktualność jak i za kompletność oraz jakość udostępnionych lub przekazanych danych, w razie poniesienia przez użytkownika szkody majątkowej spowoduje, że podmiot zobowiązany może ponosić majątkową odpowiedzialność odszkodowawczą, o ile tylko wystąpi nar</w:t>
            </w:r>
            <w:r w:rsidR="008A759F" w:rsidRPr="00584929">
              <w:rPr>
                <w:rFonts w:ascii="Times New Roman" w:hAnsi="Times New Roman" w:cs="Times New Roman"/>
              </w:rPr>
              <w:t>uszenie tych warunków, szkoda i </w:t>
            </w:r>
            <w:r w:rsidRPr="00584929">
              <w:rPr>
                <w:rFonts w:ascii="Times New Roman" w:hAnsi="Times New Roman" w:cs="Times New Roman"/>
              </w:rPr>
              <w:t xml:space="preserve">adekwatny związek przyczynowy. W tym kontekście wyjaśnienia wymaga także relacja art. 13 projektu do art. 15  ust. 1 lit. b [art. 15 ust. 1 pkt 3] projektu, który wskazuje, że warunki ponownego wykorzystania mogą dotyczyć zakresu odpowiedzialności podmiotu zobowiązanego za udostępnione lub przekazywane informacje. Powstaje pytanie czy podmiot zobowiązany może wyłączyć, któreś z elementów z art. 13, ewentualnie odmiennie ukształtować zasady odpowiedzialności niż wynika to z art. 13 ustawy? Ponadto wydaje się zasadne uzupełnienie projektu przez wskazanie trybu, w jakim </w:t>
            </w:r>
            <w:r w:rsidRPr="00584929">
              <w:rPr>
                <w:rFonts w:ascii="Times New Roman" w:hAnsi="Times New Roman" w:cs="Times New Roman"/>
              </w:rPr>
              <w:lastRenderedPageBreak/>
              <w:t>podmiot kontroluje cechy udostępnianych lub przekazywanych danych o</w:t>
            </w:r>
            <w:r w:rsidR="008A759F" w:rsidRPr="00584929">
              <w:rPr>
                <w:rFonts w:ascii="Times New Roman" w:hAnsi="Times New Roman" w:cs="Times New Roman"/>
              </w:rPr>
              <w:t>pisane w art. 13, szczególnie w </w:t>
            </w:r>
            <w:r w:rsidRPr="00584929">
              <w:rPr>
                <w:rFonts w:ascii="Times New Roman" w:hAnsi="Times New Roman" w:cs="Times New Roman"/>
              </w:rPr>
              <w:t>sytuacji udostępn</w:t>
            </w:r>
            <w:r w:rsidR="008A759F" w:rsidRPr="00584929">
              <w:rPr>
                <w:rFonts w:ascii="Times New Roman" w:hAnsi="Times New Roman" w:cs="Times New Roman"/>
              </w:rPr>
              <w:t>iania danych w BIP, zwłaszcza w </w:t>
            </w:r>
            <w:r w:rsidRPr="00584929">
              <w:rPr>
                <w:rFonts w:ascii="Times New Roman" w:hAnsi="Times New Roman" w:cs="Times New Roman"/>
              </w:rPr>
              <w:t>sytuacji w której nie zostały określone warunki ponownego wykorzystywania. Przestrzeganie przez podmiot zobowiązany określonej procedury czy też trybu kontroli aktualności, jakości, poprawności i dostępności danych pozwoliłoby na ekskulpację w razie wątpliwości, co do spełnienia przez u</w:t>
            </w:r>
            <w:r w:rsidR="008A759F" w:rsidRPr="00584929">
              <w:rPr>
                <w:rFonts w:ascii="Times New Roman" w:hAnsi="Times New Roman" w:cs="Times New Roman"/>
              </w:rPr>
              <w:t>dostępnione dane właściwości, o </w:t>
            </w:r>
            <w:r w:rsidRPr="00584929">
              <w:rPr>
                <w:rFonts w:ascii="Times New Roman" w:hAnsi="Times New Roman" w:cs="Times New Roman"/>
              </w:rPr>
              <w:t>których mowa w art. 13 projektu ustawy. Upoważnienie do określenia niektórych elementów takiej procedury przez ministra właściwego do spraw informatyzacji projektodawca przewiduje jedynie dla danych o wysokiej wartości. Podobną uwagę należy podnieść do art. 30 ust. 2, który wymaga</w:t>
            </w:r>
            <w:r w:rsidR="00C02828" w:rsidRPr="00584929">
              <w:rPr>
                <w:rFonts w:ascii="Times New Roman" w:hAnsi="Times New Roman" w:cs="Times New Roman"/>
              </w:rPr>
              <w:t xml:space="preserve"> dodatkowo korekty redakcyjnej.</w:t>
            </w:r>
          </w:p>
        </w:tc>
        <w:tc>
          <w:tcPr>
            <w:tcW w:w="4785" w:type="dxa"/>
            <w:shd w:val="clear" w:color="auto" w:fill="auto"/>
          </w:tcPr>
          <w:p w14:paraId="52873F93" w14:textId="77777777" w:rsidR="008A759F" w:rsidRPr="00584929" w:rsidRDefault="000E14FE" w:rsidP="008A759F">
            <w:pPr>
              <w:rPr>
                <w:rFonts w:ascii="Times New Roman" w:hAnsi="Times New Roman" w:cs="Times New Roman"/>
                <w:b/>
              </w:rPr>
            </w:pPr>
            <w:r w:rsidRPr="00584929">
              <w:rPr>
                <w:rFonts w:ascii="Times New Roman" w:hAnsi="Times New Roman" w:cs="Times New Roman"/>
                <w:b/>
              </w:rPr>
              <w:lastRenderedPageBreak/>
              <w:t xml:space="preserve">Uwaga </w:t>
            </w:r>
            <w:r w:rsidR="008A759F" w:rsidRPr="00584929">
              <w:rPr>
                <w:rFonts w:ascii="Times New Roman" w:hAnsi="Times New Roman" w:cs="Times New Roman"/>
                <w:b/>
              </w:rPr>
              <w:t xml:space="preserve">wyjaśniona  </w:t>
            </w:r>
          </w:p>
          <w:p w14:paraId="378D3662" w14:textId="0A784AD1" w:rsidR="008A759F" w:rsidRPr="00584929" w:rsidRDefault="001B1709" w:rsidP="008A759F">
            <w:pPr>
              <w:jc w:val="both"/>
              <w:rPr>
                <w:rFonts w:ascii="Times New Roman" w:hAnsi="Times New Roman" w:cs="Times New Roman"/>
              </w:rPr>
            </w:pPr>
            <w:r w:rsidRPr="00584929">
              <w:rPr>
                <w:rFonts w:ascii="Times New Roman" w:hAnsi="Times New Roman" w:cs="Times New Roman"/>
              </w:rPr>
              <w:t xml:space="preserve">1. </w:t>
            </w:r>
            <w:r w:rsidR="008A759F" w:rsidRPr="00584929">
              <w:rPr>
                <w:rFonts w:ascii="Times New Roman" w:hAnsi="Times New Roman" w:cs="Times New Roman"/>
              </w:rPr>
              <w:t>Uwaga dot. wyjaśnienia charakteru odpowiedzialności nałożon</w:t>
            </w:r>
            <w:r w:rsidR="000F0525" w:rsidRPr="00584929">
              <w:rPr>
                <w:rFonts w:ascii="Times New Roman" w:hAnsi="Times New Roman" w:cs="Times New Roman"/>
              </w:rPr>
              <w:t>ej</w:t>
            </w:r>
            <w:r w:rsidR="008A759F" w:rsidRPr="00584929">
              <w:rPr>
                <w:rFonts w:ascii="Times New Roman" w:hAnsi="Times New Roman" w:cs="Times New Roman"/>
              </w:rPr>
              <w:t xml:space="preserve"> na podmiot zobowiązany na podstawie art. 13 projektu ustawy.</w:t>
            </w:r>
          </w:p>
          <w:p w14:paraId="7EC42A3D" w14:textId="71C45B2F" w:rsidR="001B1709" w:rsidRPr="00584929" w:rsidRDefault="008A759F" w:rsidP="008A759F">
            <w:pPr>
              <w:jc w:val="both"/>
              <w:rPr>
                <w:rFonts w:ascii="Times New Roman" w:hAnsi="Times New Roman" w:cs="Times New Roman"/>
              </w:rPr>
            </w:pPr>
            <w:r w:rsidRPr="00584929">
              <w:rPr>
                <w:rFonts w:ascii="Times New Roman" w:hAnsi="Times New Roman" w:cs="Times New Roman"/>
              </w:rPr>
              <w:t>Przepis zostanie zmieniony</w:t>
            </w:r>
            <w:r w:rsidR="001B1709" w:rsidRPr="00584929">
              <w:rPr>
                <w:rFonts w:ascii="Times New Roman" w:hAnsi="Times New Roman" w:cs="Times New Roman"/>
              </w:rPr>
              <w:t xml:space="preserve">. Art. 13 ust. 1 projekt ustawy nie będzie formułował odpowiedzialności podmiotu zobowiązanego za udostępniane lub przekazywane ISP. </w:t>
            </w:r>
          </w:p>
          <w:p w14:paraId="43273B03" w14:textId="77777777" w:rsidR="001B1709" w:rsidRPr="00584929" w:rsidRDefault="001B1709" w:rsidP="008A759F">
            <w:pPr>
              <w:jc w:val="both"/>
              <w:rPr>
                <w:rFonts w:ascii="Times New Roman" w:hAnsi="Times New Roman" w:cs="Times New Roman"/>
              </w:rPr>
            </w:pPr>
          </w:p>
          <w:p w14:paraId="2C73CE76" w14:textId="43DAF87C" w:rsidR="001B1709" w:rsidRPr="00584929" w:rsidRDefault="001B1709" w:rsidP="008A759F">
            <w:pPr>
              <w:jc w:val="both"/>
              <w:rPr>
                <w:rFonts w:ascii="Times New Roman" w:hAnsi="Times New Roman" w:cs="Times New Roman"/>
              </w:rPr>
            </w:pPr>
            <w:r w:rsidRPr="00584929">
              <w:rPr>
                <w:rFonts w:ascii="Times New Roman" w:hAnsi="Times New Roman" w:cs="Times New Roman"/>
              </w:rPr>
              <w:t xml:space="preserve">2. Relacja art. 13 projektu do art. 15  ust. 1 lit. b [art. 15 ust. 1 pkt 3]. </w:t>
            </w:r>
          </w:p>
          <w:p w14:paraId="431056BD" w14:textId="394E7E31" w:rsidR="001B1709" w:rsidRPr="00584929" w:rsidRDefault="001B1709" w:rsidP="008A759F">
            <w:pPr>
              <w:jc w:val="both"/>
              <w:rPr>
                <w:rFonts w:ascii="Times New Roman" w:hAnsi="Times New Roman" w:cs="Times New Roman"/>
              </w:rPr>
            </w:pPr>
            <w:r w:rsidRPr="00584929">
              <w:rPr>
                <w:rFonts w:ascii="Times New Roman" w:hAnsi="Times New Roman" w:cs="Times New Roman"/>
              </w:rPr>
              <w:t xml:space="preserve">Celem zastrzeżenia, o którym mowa w art. 15 ust. 1 pkt 3 jest </w:t>
            </w:r>
            <w:r w:rsidR="000F0525" w:rsidRPr="00584929">
              <w:rPr>
                <w:rFonts w:ascii="Times New Roman" w:hAnsi="Times New Roman" w:cs="Times New Roman"/>
              </w:rPr>
              <w:t xml:space="preserve">możliwość </w:t>
            </w:r>
            <w:r w:rsidRPr="00584929">
              <w:rPr>
                <w:rFonts w:ascii="Times New Roman" w:hAnsi="Times New Roman" w:cs="Times New Roman"/>
              </w:rPr>
              <w:t>ograniczeni</w:t>
            </w:r>
            <w:r w:rsidR="000F0525" w:rsidRPr="00584929">
              <w:rPr>
                <w:rFonts w:ascii="Times New Roman" w:hAnsi="Times New Roman" w:cs="Times New Roman"/>
              </w:rPr>
              <w:t>a</w:t>
            </w:r>
            <w:r w:rsidRPr="00584929">
              <w:rPr>
                <w:rFonts w:ascii="Times New Roman" w:hAnsi="Times New Roman" w:cs="Times New Roman"/>
              </w:rPr>
              <w:t xml:space="preserve"> odpowiedzialności podmiotu zobowiązanego za udostępniane lub przekazywane ISP w sytuacji ich ponownego wykorzystywania przez użytkowników.</w:t>
            </w:r>
          </w:p>
          <w:p w14:paraId="530FC837" w14:textId="77777777" w:rsidR="001B1709" w:rsidRPr="00584929" w:rsidRDefault="001B1709" w:rsidP="008A759F">
            <w:pPr>
              <w:jc w:val="both"/>
              <w:rPr>
                <w:rFonts w:ascii="Times New Roman" w:hAnsi="Times New Roman" w:cs="Times New Roman"/>
              </w:rPr>
            </w:pPr>
          </w:p>
          <w:p w14:paraId="74BEF14F" w14:textId="191A96D2" w:rsidR="001B1709" w:rsidRPr="00584929" w:rsidRDefault="001B1709" w:rsidP="001B1709">
            <w:pPr>
              <w:jc w:val="both"/>
              <w:rPr>
                <w:rFonts w:ascii="Times New Roman" w:hAnsi="Times New Roman" w:cs="Times New Roman"/>
              </w:rPr>
            </w:pPr>
            <w:r w:rsidRPr="00584929">
              <w:rPr>
                <w:rFonts w:ascii="Times New Roman" w:hAnsi="Times New Roman" w:cs="Times New Roman"/>
              </w:rPr>
              <w:t>3. Uwaga dot. uzupełnienie projektu o tryb w jakim podmiot zobowiązany kontrolowałby cechy udostępnianych lub przekazywanych danych.</w:t>
            </w:r>
          </w:p>
          <w:p w14:paraId="5B690032" w14:textId="402C68D4" w:rsidR="001B1709" w:rsidRPr="00584929" w:rsidRDefault="001B1709" w:rsidP="001B1709">
            <w:pPr>
              <w:jc w:val="both"/>
              <w:rPr>
                <w:rFonts w:ascii="Times New Roman" w:hAnsi="Times New Roman" w:cs="Times New Roman"/>
              </w:rPr>
            </w:pPr>
            <w:r w:rsidRPr="00584929">
              <w:rPr>
                <w:rFonts w:ascii="Times New Roman" w:hAnsi="Times New Roman" w:cs="Times New Roman"/>
              </w:rPr>
              <w:t xml:space="preserve">Regulowanie w przepisach ustawowych trybu w jakim podmioty zobowiązane miałyby kontrolować cechy udostępnianych lub przekazywanych danych, stanowiłoby nadregulację. </w:t>
            </w:r>
            <w:r w:rsidR="000F0525" w:rsidRPr="00584929">
              <w:rPr>
                <w:rFonts w:ascii="Times New Roman" w:hAnsi="Times New Roman" w:cs="Times New Roman"/>
              </w:rPr>
              <w:t xml:space="preserve">Biorąc </w:t>
            </w:r>
            <w:r w:rsidRPr="00584929">
              <w:rPr>
                <w:rFonts w:ascii="Times New Roman" w:hAnsi="Times New Roman" w:cs="Times New Roman"/>
              </w:rPr>
              <w:t xml:space="preserve">pod uwagę zróżnicowanie podmiotów </w:t>
            </w:r>
            <w:r w:rsidRPr="00584929">
              <w:rPr>
                <w:rFonts w:ascii="Times New Roman" w:hAnsi="Times New Roman" w:cs="Times New Roman"/>
              </w:rPr>
              <w:lastRenderedPageBreak/>
              <w:t>zobowiązanych (np. ze względu na formę organizacyjną, prawną, zakres działalności) oraz bardzo duże zróżnicowanie ISP (np. ze względu na formaty i rodzaje danych, zróżnicowanie treści, stopień  złożoności danych/zasobów) byłoby niezmiernie trudno określić jeden uniwersalny tryb, zgodnie z którym podmioty zobowiązane zobligowane byłyby kontrolować cechy udostępnianych lub przekazywanych danych. Dodatkowo taka procedura kontroli uwzględniać musiałaby również różne formy upubliczniania (dystrybucji) danych, tj. udostępnianie ISP (tryb pozawnioskowy) oraz przekazywanie ISP (tryb wnioskowy). W ramach trybu pozawnioskowego konieczne mogłoby by się okazać również uwzględnienie zróżnicowania systemów teleinformatycznych za pośrednictwem, których podmioty zobo</w:t>
            </w:r>
            <w:r w:rsidR="000F0525" w:rsidRPr="00584929">
              <w:rPr>
                <w:rFonts w:ascii="Times New Roman" w:hAnsi="Times New Roman" w:cs="Times New Roman"/>
              </w:rPr>
              <w:t>wiązane udostępniają ISP (np. w </w:t>
            </w:r>
            <w:r w:rsidRPr="00584929">
              <w:rPr>
                <w:rFonts w:ascii="Times New Roman" w:hAnsi="Times New Roman" w:cs="Times New Roman"/>
              </w:rPr>
              <w:t>kontekście dostępności ISP i API).</w:t>
            </w:r>
          </w:p>
          <w:p w14:paraId="48421DB6" w14:textId="5287E9F5" w:rsidR="001B1709" w:rsidRPr="00584929" w:rsidRDefault="001B1709" w:rsidP="001B1709">
            <w:pPr>
              <w:jc w:val="both"/>
              <w:rPr>
                <w:rFonts w:ascii="Times New Roman" w:hAnsi="Times New Roman" w:cs="Times New Roman"/>
              </w:rPr>
            </w:pPr>
            <w:r w:rsidRPr="00584929">
              <w:rPr>
                <w:rFonts w:ascii="Times New Roman" w:hAnsi="Times New Roman" w:cs="Times New Roman"/>
              </w:rPr>
              <w:t xml:space="preserve">Pomiotom zobowiązanym należy pozostawić w związku z tym swobodę co do sposobu weryfikacji/kontroli cech udostępnianych lub przekazywanych ISP. </w:t>
            </w:r>
          </w:p>
        </w:tc>
      </w:tr>
      <w:tr w:rsidR="009B2CC8" w:rsidRPr="00584929" w14:paraId="7BD1EA0C" w14:textId="77777777" w:rsidTr="00D94ED7">
        <w:tc>
          <w:tcPr>
            <w:tcW w:w="676" w:type="dxa"/>
            <w:shd w:val="clear" w:color="auto" w:fill="auto"/>
          </w:tcPr>
          <w:p w14:paraId="58CA73BA" w14:textId="2B57E1CE" w:rsidR="009B2CC8" w:rsidRPr="00584929" w:rsidRDefault="009B2CC8" w:rsidP="004A29FC">
            <w:pPr>
              <w:pStyle w:val="Akapitzlist"/>
              <w:numPr>
                <w:ilvl w:val="0"/>
                <w:numId w:val="20"/>
              </w:numPr>
              <w:rPr>
                <w:sz w:val="22"/>
                <w:szCs w:val="22"/>
              </w:rPr>
            </w:pPr>
          </w:p>
        </w:tc>
        <w:tc>
          <w:tcPr>
            <w:tcW w:w="1968" w:type="dxa"/>
            <w:shd w:val="clear" w:color="auto" w:fill="auto"/>
          </w:tcPr>
          <w:p w14:paraId="69C68367" w14:textId="383B888A" w:rsidR="009B2CC8" w:rsidRPr="00584929" w:rsidRDefault="006D6263"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7FAC08A4" w14:textId="4F040F1B" w:rsidR="009B2CC8" w:rsidRPr="00584929" w:rsidRDefault="006D6263" w:rsidP="004A29FC">
            <w:pPr>
              <w:rPr>
                <w:rFonts w:ascii="Times New Roman" w:hAnsi="Times New Roman" w:cs="Times New Roman"/>
              </w:rPr>
            </w:pPr>
            <w:r w:rsidRPr="00584929">
              <w:rPr>
                <w:rFonts w:ascii="Times New Roman" w:hAnsi="Times New Roman" w:cs="Times New Roman"/>
              </w:rPr>
              <w:t>Art. 14 ust. 1 i 5</w:t>
            </w:r>
          </w:p>
        </w:tc>
        <w:tc>
          <w:tcPr>
            <w:tcW w:w="5323" w:type="dxa"/>
            <w:shd w:val="clear" w:color="auto" w:fill="auto"/>
          </w:tcPr>
          <w:p w14:paraId="24A0CB54" w14:textId="33EF6AB7" w:rsidR="006D6263" w:rsidRPr="00584929" w:rsidRDefault="006D6263" w:rsidP="000210A2">
            <w:pPr>
              <w:jc w:val="both"/>
              <w:rPr>
                <w:rFonts w:ascii="Times New Roman" w:hAnsi="Times New Roman" w:cs="Times New Roman"/>
              </w:rPr>
            </w:pPr>
            <w:r w:rsidRPr="00584929">
              <w:rPr>
                <w:rFonts w:ascii="Times New Roman" w:hAnsi="Times New Roman" w:cs="Times New Roman"/>
              </w:rPr>
              <w:t>W zakresie art. 14 projektu ustawy</w:t>
            </w:r>
            <w:r w:rsidR="004B2CDB" w:rsidRPr="00584929">
              <w:rPr>
                <w:rFonts w:ascii="Times New Roman" w:hAnsi="Times New Roman" w:cs="Times New Roman"/>
              </w:rPr>
              <w:t>:</w:t>
            </w:r>
            <w:r w:rsidRPr="00584929">
              <w:rPr>
                <w:rFonts w:ascii="Times New Roman" w:hAnsi="Times New Roman" w:cs="Times New Roman"/>
              </w:rPr>
              <w:t xml:space="preserve"> </w:t>
            </w:r>
          </w:p>
          <w:p w14:paraId="05D46FF2" w14:textId="22C9CBB9" w:rsidR="009B2CC8" w:rsidRPr="00584929" w:rsidRDefault="006D6263" w:rsidP="000210A2">
            <w:pPr>
              <w:jc w:val="both"/>
              <w:rPr>
                <w:rFonts w:ascii="Times New Roman" w:hAnsi="Times New Roman" w:cs="Times New Roman"/>
              </w:rPr>
            </w:pPr>
            <w:r w:rsidRPr="00584929">
              <w:rPr>
                <w:rFonts w:ascii="Times New Roman" w:hAnsi="Times New Roman" w:cs="Times New Roman"/>
              </w:rPr>
              <w:t xml:space="preserve">ust. 1 i 5 pozostają ze sobą w sprzeczności, gdyż jeżeli zasadą wynikającą z art. 14 ust. 1 projektu ustawy jest udostępnianie danych bezwarunkowo, to ustalenie warunków ponownego wykorzystywania powinno być dopuszczalne jedynie w przypadku ściśle określonych danych, wymienionych w sposób wyczerpujący w tym przepisie. Natomiast w sytuacji w której art. 14 ust. 5 dopuszcza określenie warunków ponownego wykorzystywania dla niesprecyzowanych „innych” danych  zasada bezwarunkowego dostępu, o której mowa w art. 14 ust. 1  będzie doznawała na gruncie tak </w:t>
            </w:r>
            <w:r w:rsidRPr="00584929">
              <w:rPr>
                <w:rFonts w:ascii="Times New Roman" w:hAnsi="Times New Roman" w:cs="Times New Roman"/>
              </w:rPr>
              <w:lastRenderedPageBreak/>
              <w:t>skonstruowanych przepisów, nieuzasadnionych ograniczeń.</w:t>
            </w:r>
          </w:p>
        </w:tc>
        <w:tc>
          <w:tcPr>
            <w:tcW w:w="4785" w:type="dxa"/>
            <w:shd w:val="clear" w:color="auto" w:fill="auto"/>
          </w:tcPr>
          <w:p w14:paraId="776CD326" w14:textId="0F53A994" w:rsidR="009B2CC8" w:rsidRPr="00584929" w:rsidRDefault="00485503" w:rsidP="00575C43">
            <w:pPr>
              <w:rPr>
                <w:rFonts w:ascii="Times New Roman" w:hAnsi="Times New Roman" w:cs="Times New Roman"/>
                <w:b/>
              </w:rPr>
            </w:pPr>
            <w:r w:rsidRPr="00584929">
              <w:rPr>
                <w:rFonts w:ascii="Times New Roman" w:hAnsi="Times New Roman" w:cs="Times New Roman"/>
                <w:b/>
              </w:rPr>
              <w:lastRenderedPageBreak/>
              <w:t xml:space="preserve">Wyjaśnienie </w:t>
            </w:r>
          </w:p>
          <w:p w14:paraId="07FD44D4" w14:textId="5D9D7F60" w:rsidR="00575C43" w:rsidRPr="00584929" w:rsidRDefault="00575C43" w:rsidP="00575C43">
            <w:pPr>
              <w:jc w:val="both"/>
              <w:rPr>
                <w:rFonts w:ascii="Times New Roman" w:hAnsi="Times New Roman" w:cs="Times New Roman"/>
              </w:rPr>
            </w:pPr>
            <w:r w:rsidRPr="00584929">
              <w:rPr>
                <w:rFonts w:ascii="Times New Roman" w:hAnsi="Times New Roman" w:cs="Times New Roman"/>
              </w:rPr>
              <w:t xml:space="preserve">Art. 14 ust. 1 </w:t>
            </w:r>
            <w:r w:rsidR="00B8024F" w:rsidRPr="00584929">
              <w:rPr>
                <w:rFonts w:ascii="Times New Roman" w:hAnsi="Times New Roman" w:cs="Times New Roman"/>
              </w:rPr>
              <w:t xml:space="preserve">projektu ustawy </w:t>
            </w:r>
            <w:r w:rsidRPr="00584929">
              <w:rPr>
                <w:rFonts w:ascii="Times New Roman" w:hAnsi="Times New Roman" w:cs="Times New Roman"/>
              </w:rPr>
              <w:t xml:space="preserve">wyraża zasadę bezwarunkowości ponownego wykorzystywania ISP, od której projekt ustawy przewiduje określone wyjątki. Przewidziano dwa rodzaje warunków ponownego wykorzystywania: </w:t>
            </w:r>
          </w:p>
          <w:p w14:paraId="75088E2E" w14:textId="77777777" w:rsidR="00575C43" w:rsidRPr="00584929" w:rsidRDefault="00575C43" w:rsidP="00A07FD4">
            <w:pPr>
              <w:pStyle w:val="Akapitzlist"/>
              <w:numPr>
                <w:ilvl w:val="0"/>
                <w:numId w:val="32"/>
              </w:numPr>
              <w:ind w:left="317" w:hanging="284"/>
              <w:jc w:val="both"/>
              <w:rPr>
                <w:sz w:val="22"/>
                <w:szCs w:val="22"/>
              </w:rPr>
            </w:pPr>
            <w:r w:rsidRPr="00584929">
              <w:rPr>
                <w:sz w:val="22"/>
                <w:szCs w:val="22"/>
              </w:rPr>
              <w:t xml:space="preserve">obligatoryjne (art. 14 ust. 2 i 4) </w:t>
            </w:r>
          </w:p>
          <w:p w14:paraId="5A5F701E" w14:textId="77777777" w:rsidR="00575C43" w:rsidRPr="00584929" w:rsidRDefault="00575C43" w:rsidP="00A07FD4">
            <w:pPr>
              <w:pStyle w:val="Akapitzlist"/>
              <w:numPr>
                <w:ilvl w:val="0"/>
                <w:numId w:val="32"/>
              </w:numPr>
              <w:ind w:left="317" w:hanging="284"/>
              <w:jc w:val="both"/>
              <w:rPr>
                <w:sz w:val="22"/>
                <w:szCs w:val="22"/>
              </w:rPr>
            </w:pPr>
            <w:r w:rsidRPr="00584929">
              <w:rPr>
                <w:sz w:val="22"/>
                <w:szCs w:val="22"/>
              </w:rPr>
              <w:t xml:space="preserve">fakultatywne (art. 14. ust. 5). </w:t>
            </w:r>
          </w:p>
          <w:p w14:paraId="2CEE7A07" w14:textId="77777777" w:rsidR="00485503" w:rsidRPr="00584929" w:rsidRDefault="00575C43" w:rsidP="00575C43">
            <w:pPr>
              <w:ind w:left="33"/>
              <w:jc w:val="both"/>
              <w:rPr>
                <w:rFonts w:ascii="Times New Roman" w:hAnsi="Times New Roman" w:cs="Times New Roman"/>
              </w:rPr>
            </w:pPr>
            <w:r w:rsidRPr="00584929">
              <w:rPr>
                <w:rFonts w:ascii="Times New Roman" w:hAnsi="Times New Roman" w:cs="Times New Roman"/>
              </w:rPr>
              <w:t xml:space="preserve">Należy jednak podkreślić, że fakultatywność, o której </w:t>
            </w:r>
            <w:r w:rsidR="00485503" w:rsidRPr="00584929">
              <w:rPr>
                <w:rFonts w:ascii="Times New Roman" w:hAnsi="Times New Roman" w:cs="Times New Roman"/>
              </w:rPr>
              <w:t xml:space="preserve">mowa </w:t>
            </w:r>
            <w:r w:rsidR="00B8024F" w:rsidRPr="00584929">
              <w:rPr>
                <w:rFonts w:ascii="Times New Roman" w:hAnsi="Times New Roman" w:cs="Times New Roman"/>
              </w:rPr>
              <w:t xml:space="preserve">w tym przypadku </w:t>
            </w:r>
            <w:r w:rsidRPr="00584929">
              <w:rPr>
                <w:rFonts w:ascii="Times New Roman" w:hAnsi="Times New Roman" w:cs="Times New Roman"/>
              </w:rPr>
              <w:t xml:space="preserve">została w znacznej mierze ograniczona, bowiem podmiot zobowiązany może jedynie zdecydować o tym, czy zastosuje </w:t>
            </w:r>
            <w:r w:rsidRPr="00584929">
              <w:rPr>
                <w:rFonts w:ascii="Times New Roman" w:hAnsi="Times New Roman" w:cs="Times New Roman"/>
              </w:rPr>
              <w:lastRenderedPageBreak/>
              <w:t>dodatkowe warunki. Przedmiot tych warunków został określony w art. 15 projektu</w:t>
            </w:r>
            <w:r w:rsidR="00485503" w:rsidRPr="00584929">
              <w:rPr>
                <w:rFonts w:ascii="Times New Roman" w:hAnsi="Times New Roman" w:cs="Times New Roman"/>
              </w:rPr>
              <w:t xml:space="preserve">. </w:t>
            </w:r>
          </w:p>
          <w:p w14:paraId="7B39F97E" w14:textId="0702B486" w:rsidR="00575C43" w:rsidRPr="00584929" w:rsidRDefault="00485503" w:rsidP="00575C43">
            <w:pPr>
              <w:ind w:left="33"/>
              <w:jc w:val="both"/>
              <w:rPr>
                <w:rFonts w:ascii="Times New Roman" w:hAnsi="Times New Roman" w:cs="Times New Roman"/>
              </w:rPr>
            </w:pPr>
            <w:r w:rsidRPr="00584929">
              <w:rPr>
                <w:rFonts w:ascii="Times New Roman" w:hAnsi="Times New Roman" w:cs="Times New Roman"/>
              </w:rPr>
              <w:t>Z</w:t>
            </w:r>
            <w:r w:rsidR="00575C43" w:rsidRPr="00584929">
              <w:rPr>
                <w:rFonts w:ascii="Times New Roman" w:hAnsi="Times New Roman" w:cs="Times New Roman"/>
              </w:rPr>
              <w:t xml:space="preserve">godnie </w:t>
            </w:r>
            <w:r w:rsidRPr="00584929">
              <w:rPr>
                <w:rFonts w:ascii="Times New Roman" w:hAnsi="Times New Roman" w:cs="Times New Roman"/>
              </w:rPr>
              <w:t xml:space="preserve">z art. 15 ust. 1 </w:t>
            </w:r>
            <w:r w:rsidR="00575C43" w:rsidRPr="00584929">
              <w:rPr>
                <w:rFonts w:ascii="Times New Roman" w:hAnsi="Times New Roman" w:cs="Times New Roman"/>
              </w:rPr>
              <w:t>warunki mogą</w:t>
            </w:r>
            <w:r w:rsidRPr="00584929">
              <w:rPr>
                <w:rFonts w:ascii="Times New Roman" w:hAnsi="Times New Roman" w:cs="Times New Roman"/>
              </w:rPr>
              <w:t xml:space="preserve"> dotyczyć</w:t>
            </w:r>
            <w:r w:rsidR="00575C43" w:rsidRPr="00584929">
              <w:rPr>
                <w:rFonts w:ascii="Times New Roman" w:hAnsi="Times New Roman" w:cs="Times New Roman"/>
              </w:rPr>
              <w:t>:</w:t>
            </w:r>
          </w:p>
          <w:p w14:paraId="1D65A929" w14:textId="0F49304E" w:rsidR="00575C43" w:rsidRPr="00584929" w:rsidRDefault="00575C43" w:rsidP="00A07FD4">
            <w:pPr>
              <w:pStyle w:val="Akapitzlist"/>
              <w:numPr>
                <w:ilvl w:val="0"/>
                <w:numId w:val="33"/>
              </w:numPr>
              <w:ind w:left="317" w:hanging="284"/>
              <w:jc w:val="both"/>
              <w:rPr>
                <w:sz w:val="22"/>
                <w:szCs w:val="22"/>
              </w:rPr>
            </w:pPr>
            <w:r w:rsidRPr="00584929">
              <w:rPr>
                <w:sz w:val="22"/>
                <w:szCs w:val="22"/>
              </w:rPr>
              <w:t>obowiązku poinformowania o źródle, czasie wytworzenia i pozyskania informacji od podmiotu zobowiązanego,</w:t>
            </w:r>
          </w:p>
          <w:p w14:paraId="60174CCE" w14:textId="37FD170D" w:rsidR="00575C43" w:rsidRPr="00584929" w:rsidRDefault="00575C43" w:rsidP="00A07FD4">
            <w:pPr>
              <w:pStyle w:val="Akapitzlist"/>
              <w:numPr>
                <w:ilvl w:val="0"/>
                <w:numId w:val="33"/>
              </w:numPr>
              <w:ind w:left="317" w:hanging="284"/>
              <w:jc w:val="both"/>
              <w:rPr>
                <w:sz w:val="22"/>
                <w:szCs w:val="22"/>
              </w:rPr>
            </w:pPr>
            <w:r w:rsidRPr="00584929">
              <w:rPr>
                <w:sz w:val="22"/>
                <w:szCs w:val="22"/>
              </w:rPr>
              <w:t>obowiązku poinformowania o przetworzeniu informacji ponownie wykorzystywanej,</w:t>
            </w:r>
          </w:p>
          <w:p w14:paraId="7E5DA54A" w14:textId="77777777" w:rsidR="00575C43" w:rsidRPr="00584929" w:rsidRDefault="00575C43" w:rsidP="00A07FD4">
            <w:pPr>
              <w:pStyle w:val="Akapitzlist"/>
              <w:numPr>
                <w:ilvl w:val="0"/>
                <w:numId w:val="33"/>
              </w:numPr>
              <w:ind w:left="317" w:hanging="284"/>
              <w:jc w:val="both"/>
            </w:pPr>
            <w:r w:rsidRPr="00584929">
              <w:rPr>
                <w:sz w:val="22"/>
                <w:szCs w:val="22"/>
              </w:rPr>
              <w:t>zakresu odpowiedzialności podmiotu zobowiązanego za udostępniane lub przekazywane informacje.</w:t>
            </w:r>
          </w:p>
          <w:p w14:paraId="72168D65" w14:textId="0199C09C" w:rsidR="00575C43" w:rsidRPr="00584929" w:rsidRDefault="00575C43" w:rsidP="00575C43">
            <w:pPr>
              <w:ind w:left="33"/>
              <w:jc w:val="both"/>
              <w:rPr>
                <w:rFonts w:ascii="Times New Roman" w:hAnsi="Times New Roman" w:cs="Times New Roman"/>
              </w:rPr>
            </w:pPr>
            <w:r w:rsidRPr="00584929">
              <w:rPr>
                <w:rFonts w:ascii="Times New Roman" w:hAnsi="Times New Roman" w:cs="Times New Roman"/>
              </w:rPr>
              <w:t xml:space="preserve">Oprócz warunków fakultatywnych o charakterze ogólnym </w:t>
            </w:r>
            <w:r w:rsidR="005C165F" w:rsidRPr="00584929">
              <w:rPr>
                <w:rFonts w:ascii="Times New Roman" w:hAnsi="Times New Roman" w:cs="Times New Roman"/>
              </w:rPr>
              <w:t>(art. 15 ust. 1). W</w:t>
            </w:r>
            <w:r w:rsidRPr="00584929">
              <w:rPr>
                <w:rFonts w:ascii="Times New Roman" w:hAnsi="Times New Roman" w:cs="Times New Roman"/>
              </w:rPr>
              <w:t xml:space="preserve"> art. 15  ust. 2 projektu określono grupę warunków, która dotyczy części zasobów muzeów państwowych i samorządowych, bibliotek publicznych, bibliotek naukowych oraz archiwów. </w:t>
            </w:r>
          </w:p>
          <w:p w14:paraId="33D6D525" w14:textId="5591ACCE" w:rsidR="00485503" w:rsidRPr="00584929" w:rsidRDefault="00485503" w:rsidP="00485503">
            <w:pPr>
              <w:ind w:left="33"/>
              <w:jc w:val="both"/>
              <w:rPr>
                <w:rFonts w:ascii="Times New Roman" w:hAnsi="Times New Roman" w:cs="Times New Roman"/>
                <w:color w:val="FF0000"/>
              </w:rPr>
            </w:pPr>
            <w:r w:rsidRPr="00584929">
              <w:rPr>
                <w:rFonts w:ascii="Times New Roman" w:hAnsi="Times New Roman" w:cs="Times New Roman"/>
              </w:rPr>
              <w:t>„Fakultatywność określania warunków (…) sprowadza się jedynie do podjęcia decyzji o ich zastosowaniu. Treść tych warunków ustawodawca ustalił (…). Podmiot zobowiązany nie ma więc możliwości dowolnego określania warunków ponownego wykorzystywania ISP.” (zob. B. Fischer, A. Piskorz-Ryń, M. Sakowska-Baryła, J. Wyporska-Frankiewicz, Ustawa o ponownym wykorzystywaniu informacji sektora publicznego. Komentarz. Wolters Kluwer, wydanie 2, Warszawa 2019, str. 307</w:t>
            </w:r>
            <w:r w:rsidRPr="00584929">
              <w:rPr>
                <w:rStyle w:val="Odwoanieprzypisudolnego"/>
                <w:rFonts w:ascii="Times New Roman" w:hAnsi="Times New Roman" w:cs="Times New Roman"/>
              </w:rPr>
              <w:footnoteReference w:id="4"/>
            </w:r>
            <w:r w:rsidR="002F7710">
              <w:rPr>
                <w:rFonts w:ascii="Times New Roman" w:hAnsi="Times New Roman" w:cs="Times New Roman"/>
                <w:vertAlign w:val="superscript"/>
              </w:rPr>
              <w:t>)</w:t>
            </w:r>
            <w:r w:rsidRPr="00584929">
              <w:rPr>
                <w:rFonts w:ascii="Times New Roman" w:hAnsi="Times New Roman" w:cs="Times New Roman"/>
              </w:rPr>
              <w:t>).</w:t>
            </w:r>
          </w:p>
          <w:p w14:paraId="4D730C6B" w14:textId="07116472" w:rsidR="00575C43" w:rsidRPr="00584929" w:rsidRDefault="00575C43" w:rsidP="00575C43">
            <w:pPr>
              <w:ind w:left="33"/>
              <w:jc w:val="both"/>
            </w:pPr>
            <w:r w:rsidRPr="00584929">
              <w:rPr>
                <w:rFonts w:ascii="Times New Roman" w:hAnsi="Times New Roman" w:cs="Times New Roman"/>
              </w:rPr>
              <w:t xml:space="preserve">Podmiotowi zobowiązanemu pozostawiono zatem jedynie możliwość podjęcia decyzji co do określenia dodatkowych warunków ponownego wykorzystywania w przypadkach innych niż </w:t>
            </w:r>
            <w:r w:rsidRPr="00584929">
              <w:rPr>
                <w:rFonts w:ascii="Times New Roman" w:hAnsi="Times New Roman" w:cs="Times New Roman"/>
              </w:rPr>
              <w:lastRenderedPageBreak/>
              <w:t xml:space="preserve">określone w art. 14 ust. 2 i 4, a treść samych warunków została ściśle określona. </w:t>
            </w:r>
          </w:p>
          <w:p w14:paraId="51B04D8C" w14:textId="378A9B01" w:rsidR="00B8024F" w:rsidRPr="00584929" w:rsidRDefault="00B8024F" w:rsidP="00575C43">
            <w:pPr>
              <w:ind w:left="33"/>
              <w:jc w:val="both"/>
              <w:rPr>
                <w:rFonts w:ascii="Times New Roman" w:hAnsi="Times New Roman" w:cs="Times New Roman"/>
              </w:rPr>
            </w:pPr>
            <w:r w:rsidRPr="00584929">
              <w:rPr>
                <w:rFonts w:ascii="Times New Roman" w:hAnsi="Times New Roman" w:cs="Times New Roman"/>
              </w:rPr>
              <w:t>Mając jednak na uwadze potencjalne wątpliwości interpretacyjne przepis art. 14 ust. 5 zostanie zmieniony poprzez wskazanie, że podmiot zobowiązany może określić warunki ponownego wykorzystywania, o których mowa w art. 15</w:t>
            </w:r>
            <w:r w:rsidR="00485503" w:rsidRPr="00584929">
              <w:rPr>
                <w:rFonts w:ascii="Times New Roman" w:hAnsi="Times New Roman" w:cs="Times New Roman"/>
              </w:rPr>
              <w:t>,</w:t>
            </w:r>
            <w:r w:rsidRPr="00584929">
              <w:rPr>
                <w:rFonts w:ascii="Times New Roman" w:hAnsi="Times New Roman" w:cs="Times New Roman"/>
              </w:rPr>
              <w:t xml:space="preserve"> w przypadkach innych niż określone w ust. </w:t>
            </w:r>
            <w:r w:rsidR="00485503" w:rsidRPr="00584929">
              <w:rPr>
                <w:rFonts w:ascii="Times New Roman" w:hAnsi="Times New Roman" w:cs="Times New Roman"/>
              </w:rPr>
              <w:t>2 i 4 (dodanie wyrażenia: „o których mowa w art. 15”).</w:t>
            </w:r>
          </w:p>
          <w:p w14:paraId="0A435908" w14:textId="715D5FBF" w:rsidR="00B8024F" w:rsidRPr="00584929" w:rsidRDefault="00B8024F" w:rsidP="00485503">
            <w:pPr>
              <w:ind w:left="33"/>
              <w:jc w:val="both"/>
              <w:rPr>
                <w:rFonts w:ascii="Times New Roman" w:hAnsi="Times New Roman" w:cs="Times New Roman"/>
              </w:rPr>
            </w:pPr>
            <w:r w:rsidRPr="00584929">
              <w:rPr>
                <w:rFonts w:ascii="Times New Roman" w:hAnsi="Times New Roman" w:cs="Times New Roman"/>
              </w:rPr>
              <w:t xml:space="preserve">Dodatkowo należy wyjaśnić, że </w:t>
            </w:r>
            <w:r w:rsidR="001F7619" w:rsidRPr="00584929">
              <w:rPr>
                <w:rFonts w:ascii="Times New Roman" w:hAnsi="Times New Roman" w:cs="Times New Roman"/>
              </w:rPr>
              <w:t xml:space="preserve">określanie warunków ponownego wykorzystywania (obligatoryjnych lub fakultatywnych) stanowi wyjątek od zasady bezwarunkowości i powinien być </w:t>
            </w:r>
            <w:r w:rsidR="00C34735" w:rsidRPr="00584929">
              <w:rPr>
                <w:rFonts w:ascii="Times New Roman" w:hAnsi="Times New Roman" w:cs="Times New Roman"/>
              </w:rPr>
              <w:t xml:space="preserve">on </w:t>
            </w:r>
            <w:r w:rsidR="001F7619" w:rsidRPr="00584929">
              <w:rPr>
                <w:rFonts w:ascii="Times New Roman" w:hAnsi="Times New Roman" w:cs="Times New Roman"/>
              </w:rPr>
              <w:t>interpretowany ściśle. Oprócz regulacj</w:t>
            </w:r>
            <w:r w:rsidR="00485503" w:rsidRPr="00584929">
              <w:rPr>
                <w:rFonts w:ascii="Times New Roman" w:hAnsi="Times New Roman" w:cs="Times New Roman"/>
              </w:rPr>
              <w:t>i</w:t>
            </w:r>
            <w:r w:rsidR="001F7619" w:rsidRPr="00584929">
              <w:rPr>
                <w:rFonts w:ascii="Times New Roman" w:hAnsi="Times New Roman" w:cs="Times New Roman"/>
              </w:rPr>
              <w:t xml:space="preserve"> art.</w:t>
            </w:r>
            <w:r w:rsidR="00485503" w:rsidRPr="00584929">
              <w:rPr>
                <w:rFonts w:ascii="Times New Roman" w:hAnsi="Times New Roman" w:cs="Times New Roman"/>
              </w:rPr>
              <w:t xml:space="preserve"> 14 i </w:t>
            </w:r>
            <w:r w:rsidR="001F7619" w:rsidRPr="00584929">
              <w:rPr>
                <w:rFonts w:ascii="Times New Roman" w:hAnsi="Times New Roman" w:cs="Times New Roman"/>
              </w:rPr>
              <w:t xml:space="preserve">15 podmiot zobowiązany powinien również stosować się do wskazań art. 16 projektu ustawy, zgodnie z którym warunki ponownego wykorzystywania nie mogą w sposób nieuzasadniony ograniczać  możliwości ponownego wykorzystywania ISP. Przepis ten zostanie również uzupełniony o dodatkowe kryteria jakie spełniać powinny warunki ponownego wykorzystywania, tj. kryteria obiektywizmu,  proporcjonalności oraz niedyskryminacji. </w:t>
            </w:r>
          </w:p>
          <w:p w14:paraId="3493E32A" w14:textId="77777777" w:rsidR="002E4AC7" w:rsidRPr="00584929" w:rsidRDefault="00485503" w:rsidP="002E4AC7">
            <w:pPr>
              <w:ind w:left="33"/>
              <w:jc w:val="both"/>
              <w:rPr>
                <w:rFonts w:ascii="Times New Roman" w:hAnsi="Times New Roman" w:cs="Times New Roman"/>
              </w:rPr>
            </w:pPr>
            <w:r w:rsidRPr="00584929">
              <w:rPr>
                <w:rFonts w:ascii="Times New Roman" w:hAnsi="Times New Roman" w:cs="Times New Roman"/>
              </w:rPr>
              <w:t>Zasada bezwarunkowości nie będzie w związku z tym doznawała nieuzasadnionych ograniczeń.</w:t>
            </w:r>
          </w:p>
          <w:p w14:paraId="41D74DD6" w14:textId="10078561" w:rsidR="001C51D6" w:rsidRPr="00584929" w:rsidRDefault="001C51D6" w:rsidP="002E4AC7">
            <w:pPr>
              <w:ind w:left="33"/>
              <w:jc w:val="both"/>
              <w:rPr>
                <w:rFonts w:ascii="Times New Roman" w:hAnsi="Times New Roman" w:cs="Times New Roman"/>
              </w:rPr>
            </w:pPr>
            <w:r w:rsidRPr="00584929">
              <w:rPr>
                <w:rFonts w:ascii="Times New Roman" w:hAnsi="Times New Roman" w:cs="Times New Roman"/>
              </w:rPr>
              <w:t>Przepis zostanie poddany dodatkowej analizie w ramach rozpatrzenia projektu ustawy przez Komisję prawniczą.</w:t>
            </w:r>
          </w:p>
        </w:tc>
      </w:tr>
      <w:tr w:rsidR="009B2CC8" w:rsidRPr="00584929" w14:paraId="4DC3AFE4" w14:textId="77777777" w:rsidTr="00D94ED7">
        <w:tc>
          <w:tcPr>
            <w:tcW w:w="676" w:type="dxa"/>
            <w:shd w:val="clear" w:color="auto" w:fill="auto"/>
          </w:tcPr>
          <w:p w14:paraId="6A000D70" w14:textId="4FC6EE9A" w:rsidR="009B2CC8" w:rsidRPr="00584929" w:rsidRDefault="009B2CC8" w:rsidP="004A29FC">
            <w:pPr>
              <w:pStyle w:val="Akapitzlist"/>
              <w:numPr>
                <w:ilvl w:val="0"/>
                <w:numId w:val="20"/>
              </w:numPr>
              <w:rPr>
                <w:sz w:val="22"/>
                <w:szCs w:val="22"/>
              </w:rPr>
            </w:pPr>
          </w:p>
        </w:tc>
        <w:tc>
          <w:tcPr>
            <w:tcW w:w="1968" w:type="dxa"/>
            <w:shd w:val="clear" w:color="auto" w:fill="auto"/>
          </w:tcPr>
          <w:p w14:paraId="1F107B00" w14:textId="448E48DF" w:rsidR="009B2CC8" w:rsidRPr="00584929" w:rsidRDefault="006D6263"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564B6566" w14:textId="145F6D9B" w:rsidR="009B2CC8" w:rsidRPr="00584929" w:rsidRDefault="006D6263" w:rsidP="004A29FC">
            <w:pPr>
              <w:rPr>
                <w:rFonts w:ascii="Times New Roman" w:hAnsi="Times New Roman" w:cs="Times New Roman"/>
              </w:rPr>
            </w:pPr>
            <w:r w:rsidRPr="00584929">
              <w:rPr>
                <w:rFonts w:ascii="Times New Roman" w:hAnsi="Times New Roman" w:cs="Times New Roman"/>
              </w:rPr>
              <w:t>Art. 14 ust. 2</w:t>
            </w:r>
          </w:p>
        </w:tc>
        <w:tc>
          <w:tcPr>
            <w:tcW w:w="5323" w:type="dxa"/>
            <w:shd w:val="clear" w:color="auto" w:fill="auto"/>
          </w:tcPr>
          <w:p w14:paraId="11BB6A06" w14:textId="77777777" w:rsidR="006D6263" w:rsidRPr="00584929" w:rsidRDefault="006D6263" w:rsidP="000210A2">
            <w:pPr>
              <w:jc w:val="both"/>
              <w:rPr>
                <w:rFonts w:ascii="Times New Roman" w:hAnsi="Times New Roman" w:cs="Times New Roman"/>
              </w:rPr>
            </w:pPr>
            <w:r w:rsidRPr="00584929">
              <w:rPr>
                <w:rFonts w:ascii="Times New Roman" w:hAnsi="Times New Roman" w:cs="Times New Roman"/>
              </w:rPr>
              <w:t>W zakresie art. 14 projektu ustawy:</w:t>
            </w:r>
          </w:p>
          <w:p w14:paraId="257DCEF3" w14:textId="32994F0D" w:rsidR="006D6263" w:rsidRPr="00584929" w:rsidRDefault="006D6263" w:rsidP="000210A2">
            <w:pPr>
              <w:jc w:val="both"/>
              <w:rPr>
                <w:rFonts w:ascii="Times New Roman" w:hAnsi="Times New Roman" w:cs="Times New Roman"/>
              </w:rPr>
            </w:pPr>
            <w:r w:rsidRPr="00584929">
              <w:rPr>
                <w:rFonts w:ascii="Times New Roman" w:hAnsi="Times New Roman" w:cs="Times New Roman"/>
              </w:rPr>
              <w:t xml:space="preserve">wymaga wyjaśnienia czy ust. 2 nie powinien zostać uzupełniony o prawo do odmian roślin oraz prawa własności przemysłowej, zgodnie z ograniczeniami, które zostały wymienione w art. 6 ust. 4 pkt 3 projektu ustawy.  </w:t>
            </w:r>
          </w:p>
        </w:tc>
        <w:tc>
          <w:tcPr>
            <w:tcW w:w="4785" w:type="dxa"/>
            <w:shd w:val="clear" w:color="auto" w:fill="auto"/>
          </w:tcPr>
          <w:p w14:paraId="7726CD09" w14:textId="77777777" w:rsidR="009B2CC8" w:rsidRPr="00584929" w:rsidRDefault="006D6263" w:rsidP="004A29FC">
            <w:pPr>
              <w:rPr>
                <w:rFonts w:ascii="Times New Roman" w:hAnsi="Times New Roman" w:cs="Times New Roman"/>
                <w:b/>
              </w:rPr>
            </w:pPr>
            <w:r w:rsidRPr="00584929">
              <w:rPr>
                <w:rFonts w:ascii="Times New Roman" w:hAnsi="Times New Roman" w:cs="Times New Roman"/>
                <w:b/>
              </w:rPr>
              <w:t xml:space="preserve">Uwaga uwzględniona  </w:t>
            </w:r>
          </w:p>
          <w:p w14:paraId="66791266" w14:textId="4608D860" w:rsidR="00485503" w:rsidRPr="00584929" w:rsidRDefault="00485503" w:rsidP="004A29FC">
            <w:pPr>
              <w:rPr>
                <w:rFonts w:ascii="Times New Roman" w:hAnsi="Times New Roman" w:cs="Times New Roman"/>
              </w:rPr>
            </w:pPr>
            <w:r w:rsidRPr="00584929">
              <w:rPr>
                <w:rFonts w:ascii="Times New Roman" w:hAnsi="Times New Roman" w:cs="Times New Roman"/>
              </w:rPr>
              <w:t xml:space="preserve">Przepis zostanie zmieniony. </w:t>
            </w:r>
          </w:p>
        </w:tc>
      </w:tr>
      <w:tr w:rsidR="009B2CC8" w:rsidRPr="00584929" w14:paraId="7AB6F44A" w14:textId="77777777" w:rsidTr="00D94ED7">
        <w:tc>
          <w:tcPr>
            <w:tcW w:w="676" w:type="dxa"/>
            <w:shd w:val="clear" w:color="auto" w:fill="auto"/>
          </w:tcPr>
          <w:p w14:paraId="4AA2E0A8" w14:textId="77777777" w:rsidR="009B2CC8" w:rsidRPr="00584929" w:rsidRDefault="009B2CC8" w:rsidP="004A29FC">
            <w:pPr>
              <w:pStyle w:val="Akapitzlist"/>
              <w:numPr>
                <w:ilvl w:val="0"/>
                <w:numId w:val="20"/>
              </w:numPr>
              <w:rPr>
                <w:sz w:val="22"/>
                <w:szCs w:val="22"/>
              </w:rPr>
            </w:pPr>
          </w:p>
        </w:tc>
        <w:tc>
          <w:tcPr>
            <w:tcW w:w="1968" w:type="dxa"/>
            <w:shd w:val="clear" w:color="auto" w:fill="auto"/>
          </w:tcPr>
          <w:p w14:paraId="067163BE" w14:textId="77777777" w:rsidR="00CF2BBB" w:rsidRPr="00584929" w:rsidRDefault="00CF2BBB" w:rsidP="004A29FC">
            <w:pPr>
              <w:rPr>
                <w:rFonts w:ascii="Times New Roman" w:hAnsi="Times New Roman" w:cs="Times New Roman"/>
              </w:rPr>
            </w:pPr>
            <w:r w:rsidRPr="00584929">
              <w:rPr>
                <w:rFonts w:ascii="Times New Roman" w:hAnsi="Times New Roman" w:cs="Times New Roman"/>
              </w:rPr>
              <w:t>Rządowe Centrum Legislacji</w:t>
            </w:r>
          </w:p>
          <w:p w14:paraId="65917601" w14:textId="77777777" w:rsidR="009B2CC8" w:rsidRPr="00584929" w:rsidRDefault="009B2CC8" w:rsidP="004A29FC">
            <w:pPr>
              <w:rPr>
                <w:rFonts w:ascii="Times New Roman" w:hAnsi="Times New Roman" w:cs="Times New Roman"/>
              </w:rPr>
            </w:pPr>
          </w:p>
        </w:tc>
        <w:tc>
          <w:tcPr>
            <w:tcW w:w="1526" w:type="dxa"/>
            <w:shd w:val="clear" w:color="auto" w:fill="auto"/>
          </w:tcPr>
          <w:p w14:paraId="1868F090" w14:textId="102A56E9" w:rsidR="009B2CC8" w:rsidRPr="00584929" w:rsidRDefault="00CF2BBB" w:rsidP="004A29FC">
            <w:pPr>
              <w:rPr>
                <w:rFonts w:ascii="Times New Roman" w:hAnsi="Times New Roman" w:cs="Times New Roman"/>
              </w:rPr>
            </w:pPr>
            <w:r w:rsidRPr="00584929">
              <w:rPr>
                <w:rFonts w:ascii="Times New Roman" w:hAnsi="Times New Roman" w:cs="Times New Roman"/>
              </w:rPr>
              <w:t>Art. 14 ust. 3</w:t>
            </w:r>
          </w:p>
        </w:tc>
        <w:tc>
          <w:tcPr>
            <w:tcW w:w="5323" w:type="dxa"/>
            <w:shd w:val="clear" w:color="auto" w:fill="auto"/>
          </w:tcPr>
          <w:p w14:paraId="6A7E831F" w14:textId="77777777" w:rsidR="00CF2BBB" w:rsidRPr="00584929" w:rsidRDefault="00CF2BBB" w:rsidP="000210A2">
            <w:pPr>
              <w:jc w:val="both"/>
              <w:rPr>
                <w:rFonts w:ascii="Times New Roman" w:hAnsi="Times New Roman" w:cs="Times New Roman"/>
              </w:rPr>
            </w:pPr>
            <w:r w:rsidRPr="00584929">
              <w:rPr>
                <w:rFonts w:ascii="Times New Roman" w:hAnsi="Times New Roman" w:cs="Times New Roman"/>
              </w:rPr>
              <w:t>W zakresie art. 14 projektu ustawy:</w:t>
            </w:r>
          </w:p>
          <w:p w14:paraId="0CE182E2" w14:textId="4703AD69" w:rsidR="00CF2BBB" w:rsidRPr="00584929" w:rsidRDefault="00CF2BBB" w:rsidP="000210A2">
            <w:pPr>
              <w:jc w:val="both"/>
              <w:rPr>
                <w:rFonts w:ascii="Times New Roman" w:hAnsi="Times New Roman" w:cs="Times New Roman"/>
              </w:rPr>
            </w:pPr>
            <w:r w:rsidRPr="00584929">
              <w:rPr>
                <w:rFonts w:ascii="Times New Roman" w:hAnsi="Times New Roman" w:cs="Times New Roman"/>
              </w:rPr>
              <w:t>ust. 3 tego artykuły wymaga wyjaśnienia, o jakich war</w:t>
            </w:r>
            <w:r w:rsidR="000210A2" w:rsidRPr="00584929">
              <w:rPr>
                <w:rFonts w:ascii="Times New Roman" w:hAnsi="Times New Roman" w:cs="Times New Roman"/>
              </w:rPr>
              <w:t>unkach licencyjnych jest mowa w </w:t>
            </w:r>
            <w:r w:rsidRPr="00584929">
              <w:rPr>
                <w:rFonts w:ascii="Times New Roman" w:hAnsi="Times New Roman" w:cs="Times New Roman"/>
              </w:rPr>
              <w:t>zakresie pojęcia „standardowe otwarte licencje”, a jeżeli pojęcie to nie ma charakteru ugruntowanego znaczeniowo w polskim systemie prawa, wydaje się zasadnym dołączenie go do katalogu definicji z art</w:t>
            </w:r>
            <w:r w:rsidR="00A73A03" w:rsidRPr="00584929">
              <w:rPr>
                <w:rFonts w:ascii="Times New Roman" w:hAnsi="Times New Roman" w:cs="Times New Roman"/>
              </w:rPr>
              <w:t>. 2 i sformułowanie definicji o </w:t>
            </w:r>
            <w:r w:rsidRPr="00584929">
              <w:rPr>
                <w:rFonts w:ascii="Times New Roman" w:hAnsi="Times New Roman" w:cs="Times New Roman"/>
              </w:rPr>
              <w:t>charakterze choćby zakresowym, zgodnie z § 8 ZTP.</w:t>
            </w:r>
          </w:p>
        </w:tc>
        <w:tc>
          <w:tcPr>
            <w:tcW w:w="4785" w:type="dxa"/>
            <w:shd w:val="clear" w:color="auto" w:fill="auto"/>
          </w:tcPr>
          <w:p w14:paraId="59082EFA" w14:textId="4E2AC075" w:rsidR="009B2CC8" w:rsidRPr="00584929" w:rsidRDefault="00463E62" w:rsidP="004A29FC">
            <w:pPr>
              <w:rPr>
                <w:rFonts w:ascii="Times New Roman" w:hAnsi="Times New Roman" w:cs="Times New Roman"/>
                <w:b/>
              </w:rPr>
            </w:pPr>
            <w:r w:rsidRPr="00584929">
              <w:rPr>
                <w:rFonts w:ascii="Times New Roman" w:hAnsi="Times New Roman" w:cs="Times New Roman"/>
                <w:b/>
              </w:rPr>
              <w:t>Wyjaśnienie</w:t>
            </w:r>
          </w:p>
          <w:p w14:paraId="3D8ED8BB" w14:textId="2C62BC45" w:rsidR="00A73A03" w:rsidRPr="00584929" w:rsidRDefault="00A73A03" w:rsidP="00A73A03">
            <w:pPr>
              <w:jc w:val="both"/>
              <w:rPr>
                <w:rFonts w:ascii="Times New Roman" w:hAnsi="Times New Roman" w:cs="Times New Roman"/>
              </w:rPr>
            </w:pPr>
            <w:r w:rsidRPr="00584929">
              <w:rPr>
                <w:rFonts w:ascii="Times New Roman" w:hAnsi="Times New Roman" w:cs="Times New Roman"/>
              </w:rPr>
              <w:t xml:space="preserve">Projektodawca stoi na stanowisku, że </w:t>
            </w:r>
            <w:r w:rsidR="00E44D11" w:rsidRPr="00584929">
              <w:rPr>
                <w:rFonts w:ascii="Times New Roman" w:hAnsi="Times New Roman" w:cs="Times New Roman"/>
              </w:rPr>
              <w:t xml:space="preserve">formułowanie definicji </w:t>
            </w:r>
            <w:r w:rsidRPr="00584929">
              <w:rPr>
                <w:rFonts w:ascii="Times New Roman" w:hAnsi="Times New Roman" w:cs="Times New Roman"/>
              </w:rPr>
              <w:t xml:space="preserve">standardowej otwartej licencji w projekcie ustawy (ustawy z zakresu prawa administracyjnego) nie jest konieczne lub wręcz wskazane. Jako inny przekład pojęcia, które również nie zostało zdefiniowane w przepisach projektowanej ustawy oraz obecnie obowiązującej ustawy z 2016 r. należy wskazać pojęcie oferty (rozdział 9 projektu ustawy).  </w:t>
            </w:r>
          </w:p>
          <w:p w14:paraId="1BEC74D2" w14:textId="77777777" w:rsidR="00A73A03" w:rsidRPr="00584929" w:rsidRDefault="00A73A03" w:rsidP="00A73A03">
            <w:pPr>
              <w:jc w:val="both"/>
              <w:rPr>
                <w:rFonts w:ascii="Times New Roman" w:hAnsi="Times New Roman" w:cs="Times New Roman"/>
              </w:rPr>
            </w:pPr>
            <w:r w:rsidRPr="00584929">
              <w:rPr>
                <w:rFonts w:ascii="Times New Roman" w:hAnsi="Times New Roman" w:cs="Times New Roman"/>
              </w:rPr>
              <w:t>Pojęcie standardowej otwartej licencji pojawia się w projekcie tylko jeden raz. Nie zostało ono również zdefiniowane w dyrektywie 2019/1024/UE.</w:t>
            </w:r>
          </w:p>
          <w:p w14:paraId="594A6857" w14:textId="77777777" w:rsidR="00A73A03" w:rsidRPr="00584929" w:rsidRDefault="00A73A03" w:rsidP="00A73A03">
            <w:pPr>
              <w:jc w:val="both"/>
              <w:rPr>
                <w:rFonts w:ascii="Times New Roman" w:hAnsi="Times New Roman" w:cs="Times New Roman"/>
                <w:b/>
              </w:rPr>
            </w:pPr>
            <w:r w:rsidRPr="00584929">
              <w:rPr>
                <w:rFonts w:ascii="Times New Roman" w:hAnsi="Times New Roman" w:cs="Times New Roman"/>
              </w:rPr>
              <w:t>Pojęcie standardowej otwartej licencji zostanie szerzej wyjaśnione w uzasadnieniu do projektu ustawy.</w:t>
            </w:r>
            <w:r w:rsidRPr="00584929">
              <w:rPr>
                <w:rFonts w:ascii="Times New Roman" w:hAnsi="Times New Roman" w:cs="Times New Roman"/>
                <w:b/>
              </w:rPr>
              <w:t xml:space="preserve"> </w:t>
            </w:r>
          </w:p>
          <w:p w14:paraId="1691B975" w14:textId="77777777" w:rsidR="00A73A03" w:rsidRPr="00584929" w:rsidRDefault="00A73A03" w:rsidP="00A73A03">
            <w:pPr>
              <w:jc w:val="both"/>
              <w:rPr>
                <w:rFonts w:ascii="Times New Roman" w:hAnsi="Times New Roman" w:cs="Times New Roman"/>
              </w:rPr>
            </w:pPr>
            <w:r w:rsidRPr="00584929">
              <w:rPr>
                <w:rFonts w:ascii="Times New Roman" w:hAnsi="Times New Roman" w:cs="Times New Roman"/>
              </w:rPr>
              <w:t xml:space="preserve">W tym miejsce należy wyjaśnić, że w art. 2 pkt 5 dyrektywy 2019/1024/UE zdefiniowane zostało pojęcie licencji standardowej, która oznacza  zbiór  z  góry  określonych  warunków  ponownego  wykorzystywania w  formacie cyfrowym, najlepiej kompatybilny ze standardowymi licencjami publicznymi, dostępnymi w internecie. Natomiast zgodnie z art. 8 ust. 2  dyrektywy w  państwach członkowskich,  w  których  stosowane  są  licencje, państwa członkowskie  zapewniają, aby  licencje standardowe na ponowne wykorzystywanie dokumentów sektora publicznego, które to licencje można dostosować do określonych  wniosków  o  licencje, były  dostępne w  formacie cyfrowym i  mogły być  przetwarzane elektronicznie. Państwa członkowskie zachęcają do stosowania takich licencji standardowych. </w:t>
            </w:r>
          </w:p>
          <w:p w14:paraId="6F848DE6" w14:textId="77777777" w:rsidR="00A73A03" w:rsidRPr="00584929" w:rsidRDefault="00A73A03" w:rsidP="00A73A03">
            <w:pPr>
              <w:jc w:val="both"/>
              <w:rPr>
                <w:rFonts w:ascii="Times New Roman" w:hAnsi="Times New Roman" w:cs="Times New Roman"/>
              </w:rPr>
            </w:pPr>
            <w:r w:rsidRPr="00584929">
              <w:rPr>
                <w:rFonts w:ascii="Times New Roman" w:hAnsi="Times New Roman" w:cs="Times New Roman"/>
              </w:rPr>
              <w:t xml:space="preserve">W  motywie 44 preambuły do dyrektywy 2019/1024/UE podkreślono, że w przypadku licencjonowania ważną  rolę mogą odgrywać </w:t>
            </w:r>
            <w:r w:rsidRPr="00584929">
              <w:rPr>
                <w:rFonts w:ascii="Times New Roman" w:hAnsi="Times New Roman" w:cs="Times New Roman"/>
              </w:rPr>
              <w:lastRenderedPageBreak/>
              <w:t xml:space="preserve">dostępne w internecie licencje standardowe. Państwa członkowskie powinny więc zapewnić dostępność licencji standardowych. Licencje na ponowne wykorzystywanie ISP powinny w każdym przypadku jak najmniej ograniczać ponowne ich wykorzystywanie, na przykład poprzez ograniczenie się do wymogu wskazania źródła. Istotną rolę w tym zakresie powinny odgrywać otwarte licencje w formie standardowych licencji publicznych dostępnych w internecie, które umożliwiają swobodny dostęp do danych i treści oraz ich swobodne wykorzystywanie, zmienianie i udostępnianie przez wszystkich do dowolnego celu i które opierają się na otwartych formatach danych. </w:t>
            </w:r>
          </w:p>
          <w:p w14:paraId="0B94925D" w14:textId="77777777" w:rsidR="00E44D11" w:rsidRPr="00584929" w:rsidRDefault="00A73A03" w:rsidP="00A73A03">
            <w:pPr>
              <w:jc w:val="both"/>
              <w:rPr>
                <w:rFonts w:ascii="Times New Roman" w:hAnsi="Times New Roman" w:cs="Times New Roman"/>
              </w:rPr>
            </w:pPr>
            <w:r w:rsidRPr="00584929">
              <w:rPr>
                <w:rFonts w:ascii="Times New Roman" w:hAnsi="Times New Roman" w:cs="Times New Roman"/>
              </w:rPr>
              <w:t>Umożliwienie udostępniania informacji na podstawie otwartych licencji było również postulowane w wytycznych Komisji Europejskiej z dnia 24 lipca 2014 r. w sprawie zalecanych licencji standardowych, zbiorów danych i opłat za ponowne wykorzystanie dokumentów (2014/C 240/01)</w:t>
            </w:r>
            <w:r w:rsidRPr="00584929">
              <w:rPr>
                <w:rFonts w:ascii="Times New Roman" w:hAnsi="Times New Roman" w:cs="Times New Roman"/>
                <w:vertAlign w:val="superscript"/>
              </w:rPr>
              <w:footnoteReference w:id="5"/>
            </w:r>
            <w:r w:rsidRPr="00584929">
              <w:rPr>
                <w:rFonts w:ascii="Times New Roman" w:hAnsi="Times New Roman" w:cs="Times New Roman"/>
                <w:vertAlign w:val="superscript"/>
              </w:rPr>
              <w:t>)</w:t>
            </w:r>
            <w:r w:rsidRPr="00584929">
              <w:rPr>
                <w:rFonts w:ascii="Times New Roman" w:hAnsi="Times New Roman" w:cs="Times New Roman"/>
              </w:rPr>
              <w:t>. W wytycznych wskazano, że w internecie dostępnych jest kilka licencji zgodnych z zasadami otwartości opisanymi przez Fundację Otwartej Wiedzy (Open Knowledge Foundation</w:t>
            </w:r>
            <w:r w:rsidRPr="00584929">
              <w:rPr>
                <w:rFonts w:ascii="Times New Roman" w:hAnsi="Times New Roman" w:cs="Times New Roman"/>
                <w:vertAlign w:val="superscript"/>
              </w:rPr>
              <w:footnoteReference w:id="6"/>
            </w:r>
            <w:r w:rsidRPr="00584929">
              <w:rPr>
                <w:rFonts w:ascii="Times New Roman" w:hAnsi="Times New Roman" w:cs="Times New Roman"/>
                <w:vertAlign w:val="superscript"/>
              </w:rPr>
              <w:t>)</w:t>
            </w:r>
            <w:r w:rsidRPr="00584929">
              <w:rPr>
                <w:rFonts w:ascii="Times New Roman" w:hAnsi="Times New Roman" w:cs="Times New Roman"/>
              </w:rPr>
              <w:t>) służących promowaniu nieograniczonego ponownego wykorzystywania treści internetowych. Przetłumaczono je na wiele języków, poddaje się je centralnej aktualizacji i są już powszechnie stosowane na całym świecie. Otwarte licencje standardowe, na przykład najnowsze licencje Creative Commons (CC) (wersja 4.0</w:t>
            </w:r>
            <w:r w:rsidRPr="00584929">
              <w:rPr>
                <w:rFonts w:ascii="Times New Roman" w:hAnsi="Times New Roman" w:cs="Times New Roman"/>
                <w:vertAlign w:val="superscript"/>
              </w:rPr>
              <w:footnoteReference w:id="7"/>
            </w:r>
            <w:r w:rsidRPr="00584929">
              <w:rPr>
                <w:rFonts w:ascii="Times New Roman" w:hAnsi="Times New Roman" w:cs="Times New Roman"/>
                <w:vertAlign w:val="superscript"/>
              </w:rPr>
              <w:t>)</w:t>
            </w:r>
            <w:r w:rsidRPr="00584929">
              <w:rPr>
                <w:rFonts w:ascii="Times New Roman" w:hAnsi="Times New Roman" w:cs="Times New Roman"/>
              </w:rPr>
              <w:t xml:space="preserve">), mogłyby </w:t>
            </w:r>
            <w:r w:rsidRPr="00584929">
              <w:rPr>
                <w:rFonts w:ascii="Times New Roman" w:hAnsi="Times New Roman" w:cs="Times New Roman"/>
              </w:rPr>
              <w:lastRenderedPageBreak/>
              <w:t>pozwolić na ponowne wykorzystanie ISP bez konieczności tworzenia i aktualizacji specjalnie opracowanych licencji na poziomie krajowym lub niższym niż krajowy. Spośród nich szczególnie interesujące jest przekazanie do domeny publicznej CC0. Jako narzędzie prawne, które pozwala zrzec się praw autorskich i praw do baz danych dotyczących ISP, zapewnia użytkownikom dużą elastyczność.</w:t>
            </w:r>
          </w:p>
          <w:p w14:paraId="4266BEEA" w14:textId="3C100924" w:rsidR="001C51D6" w:rsidRPr="00584929" w:rsidRDefault="001C51D6" w:rsidP="00A73A03">
            <w:pPr>
              <w:jc w:val="both"/>
              <w:rPr>
                <w:rFonts w:ascii="Times New Roman" w:hAnsi="Times New Roman" w:cs="Times New Roman"/>
              </w:rPr>
            </w:pPr>
            <w:r w:rsidRPr="00584929">
              <w:rPr>
                <w:rFonts w:ascii="Times New Roman" w:hAnsi="Times New Roman" w:cs="Times New Roman"/>
              </w:rPr>
              <w:t>Przepis zostanie poddany dodatkowej analizie w ramach rozpatrzenia projektu ustawy przez Komisję prawniczą.</w:t>
            </w:r>
          </w:p>
        </w:tc>
      </w:tr>
      <w:tr w:rsidR="00D21468" w:rsidRPr="00584929" w14:paraId="2B427A13" w14:textId="77777777" w:rsidTr="00D94ED7">
        <w:tc>
          <w:tcPr>
            <w:tcW w:w="676" w:type="dxa"/>
            <w:shd w:val="clear" w:color="auto" w:fill="auto"/>
          </w:tcPr>
          <w:p w14:paraId="6DDCC9DD" w14:textId="77777777" w:rsidR="00D21468" w:rsidRPr="00584929" w:rsidRDefault="00D21468" w:rsidP="004A29FC">
            <w:pPr>
              <w:pStyle w:val="Akapitzlist"/>
              <w:numPr>
                <w:ilvl w:val="0"/>
                <w:numId w:val="20"/>
              </w:numPr>
              <w:rPr>
                <w:sz w:val="22"/>
                <w:szCs w:val="22"/>
              </w:rPr>
            </w:pPr>
          </w:p>
        </w:tc>
        <w:tc>
          <w:tcPr>
            <w:tcW w:w="1968" w:type="dxa"/>
            <w:shd w:val="clear" w:color="auto" w:fill="auto"/>
          </w:tcPr>
          <w:p w14:paraId="4A391DDE" w14:textId="269E1FE2" w:rsidR="00D21468" w:rsidRPr="00584929" w:rsidRDefault="00D21468" w:rsidP="004A29FC">
            <w:pPr>
              <w:rPr>
                <w:rFonts w:ascii="Times New Roman" w:hAnsi="Times New Roman" w:cs="Times New Roman"/>
              </w:rPr>
            </w:pPr>
            <w:r w:rsidRPr="00584929">
              <w:rPr>
                <w:rFonts w:ascii="Times New Roman" w:hAnsi="Times New Roman" w:cs="Times New Roman"/>
              </w:rPr>
              <w:t>Ministerstwo Kultury</w:t>
            </w:r>
            <w:r w:rsidR="003863AF" w:rsidRPr="00584929">
              <w:rPr>
                <w:rFonts w:ascii="Times New Roman" w:hAnsi="Times New Roman" w:cs="Times New Roman"/>
              </w:rPr>
              <w:t xml:space="preserve"> i Dziedzictwa Narodowego</w:t>
            </w:r>
          </w:p>
        </w:tc>
        <w:tc>
          <w:tcPr>
            <w:tcW w:w="1526" w:type="dxa"/>
            <w:shd w:val="clear" w:color="auto" w:fill="auto"/>
          </w:tcPr>
          <w:p w14:paraId="0C3BADC9" w14:textId="38D5C6C7" w:rsidR="00D21468" w:rsidRPr="00584929" w:rsidRDefault="00D21468" w:rsidP="004A29FC">
            <w:pPr>
              <w:rPr>
                <w:rFonts w:ascii="Times New Roman" w:hAnsi="Times New Roman" w:cs="Times New Roman"/>
              </w:rPr>
            </w:pPr>
            <w:r w:rsidRPr="00584929">
              <w:rPr>
                <w:rFonts w:ascii="Times New Roman" w:hAnsi="Times New Roman" w:cs="Times New Roman"/>
              </w:rPr>
              <w:t>Art. 14 ust. 5</w:t>
            </w:r>
          </w:p>
        </w:tc>
        <w:tc>
          <w:tcPr>
            <w:tcW w:w="5323" w:type="dxa"/>
            <w:shd w:val="clear" w:color="auto" w:fill="auto"/>
          </w:tcPr>
          <w:p w14:paraId="6886AD37" w14:textId="5DF4F59F" w:rsidR="00D21468" w:rsidRPr="00584929" w:rsidRDefault="00D21468" w:rsidP="006A3FAE">
            <w:pPr>
              <w:jc w:val="both"/>
              <w:rPr>
                <w:rFonts w:ascii="Times New Roman" w:hAnsi="Times New Roman" w:cs="Times New Roman"/>
              </w:rPr>
            </w:pPr>
            <w:r w:rsidRPr="00584929">
              <w:rPr>
                <w:rFonts w:ascii="Times New Roman" w:hAnsi="Times New Roman" w:cs="Times New Roman"/>
              </w:rPr>
              <w:t>Wątpliwości budzi sformułowanie w ust. 5 – czy oznacza to, że muzea mogą odnieść ten przepis w praktyce do wszelkich zasobów? Dla muzeó</w:t>
            </w:r>
            <w:r w:rsidR="006A3FAE" w:rsidRPr="00584929">
              <w:rPr>
                <w:rFonts w:ascii="Times New Roman" w:hAnsi="Times New Roman" w:cs="Times New Roman"/>
              </w:rPr>
              <w:t>w jest to szczególnie istotne w </w:t>
            </w:r>
            <w:r w:rsidRPr="00584929">
              <w:rPr>
                <w:rFonts w:ascii="Times New Roman" w:hAnsi="Times New Roman" w:cs="Times New Roman"/>
              </w:rPr>
              <w:t>kwestii tzw. zbiorów wrażliwych – martyrologicznych i zawierających symbole narodowe.</w:t>
            </w:r>
          </w:p>
        </w:tc>
        <w:tc>
          <w:tcPr>
            <w:tcW w:w="4785" w:type="dxa"/>
            <w:shd w:val="clear" w:color="auto" w:fill="auto"/>
          </w:tcPr>
          <w:p w14:paraId="42C55E84" w14:textId="77777777" w:rsidR="009B4997" w:rsidRPr="00584929" w:rsidRDefault="009B4997" w:rsidP="009B4997">
            <w:pPr>
              <w:rPr>
                <w:rFonts w:ascii="Times New Roman" w:hAnsi="Times New Roman" w:cs="Times New Roman"/>
                <w:b/>
              </w:rPr>
            </w:pPr>
            <w:r w:rsidRPr="00584929">
              <w:rPr>
                <w:rFonts w:ascii="Times New Roman" w:hAnsi="Times New Roman" w:cs="Times New Roman"/>
                <w:b/>
              </w:rPr>
              <w:t xml:space="preserve">Wyjaśnienie </w:t>
            </w:r>
          </w:p>
          <w:p w14:paraId="28C7B895" w14:textId="77777777" w:rsidR="009B4997" w:rsidRPr="00584929" w:rsidRDefault="009B4997" w:rsidP="009B4997">
            <w:pPr>
              <w:jc w:val="both"/>
              <w:rPr>
                <w:rFonts w:ascii="Times New Roman" w:hAnsi="Times New Roman" w:cs="Times New Roman"/>
              </w:rPr>
            </w:pPr>
            <w:r w:rsidRPr="00584929">
              <w:rPr>
                <w:rFonts w:ascii="Times New Roman" w:hAnsi="Times New Roman" w:cs="Times New Roman"/>
              </w:rPr>
              <w:t xml:space="preserve">Art. 14 ust. 1 projektu ustawy wyraża zasadę bezwarunkowości ponownego wykorzystywania ISP, od której projekt ustawy przewiduje określone wyjątki. Przewidziano dwa rodzaje warunków ponownego wykorzystywania: </w:t>
            </w:r>
          </w:p>
          <w:p w14:paraId="110102AD" w14:textId="77777777" w:rsidR="009B4997" w:rsidRPr="00584929" w:rsidRDefault="009B4997" w:rsidP="00A07FD4">
            <w:pPr>
              <w:pStyle w:val="Akapitzlist"/>
              <w:numPr>
                <w:ilvl w:val="0"/>
                <w:numId w:val="32"/>
              </w:numPr>
              <w:ind w:left="317" w:hanging="284"/>
              <w:jc w:val="both"/>
              <w:rPr>
                <w:sz w:val="22"/>
                <w:szCs w:val="22"/>
              </w:rPr>
            </w:pPr>
            <w:r w:rsidRPr="00584929">
              <w:rPr>
                <w:sz w:val="22"/>
                <w:szCs w:val="22"/>
              </w:rPr>
              <w:t xml:space="preserve">obligatoryjne (art. 14 ust. 2 i 4) </w:t>
            </w:r>
          </w:p>
          <w:p w14:paraId="6ED05274" w14:textId="77777777" w:rsidR="009B4997" w:rsidRPr="00584929" w:rsidRDefault="009B4997" w:rsidP="00A07FD4">
            <w:pPr>
              <w:pStyle w:val="Akapitzlist"/>
              <w:numPr>
                <w:ilvl w:val="0"/>
                <w:numId w:val="32"/>
              </w:numPr>
              <w:ind w:left="317" w:hanging="284"/>
              <w:jc w:val="both"/>
              <w:rPr>
                <w:sz w:val="22"/>
                <w:szCs w:val="22"/>
              </w:rPr>
            </w:pPr>
            <w:r w:rsidRPr="00584929">
              <w:rPr>
                <w:sz w:val="22"/>
                <w:szCs w:val="22"/>
              </w:rPr>
              <w:t xml:space="preserve">fakultatywne (art. 14. ust. 5). </w:t>
            </w:r>
          </w:p>
          <w:p w14:paraId="48F82167" w14:textId="77777777" w:rsidR="009B4997" w:rsidRPr="00584929" w:rsidRDefault="009B4997" w:rsidP="009B4997">
            <w:pPr>
              <w:ind w:left="33"/>
              <w:jc w:val="both"/>
              <w:rPr>
                <w:rFonts w:ascii="Times New Roman" w:hAnsi="Times New Roman" w:cs="Times New Roman"/>
              </w:rPr>
            </w:pPr>
            <w:r w:rsidRPr="00584929">
              <w:rPr>
                <w:rFonts w:ascii="Times New Roman" w:hAnsi="Times New Roman" w:cs="Times New Roman"/>
              </w:rPr>
              <w:t xml:space="preserve">Należy jednak podkreślić, że fakultatywność, o której mowa w tym przypadku została w znacznej mierze ograniczona, bowiem podmiot zobowiązany może jedynie zdecydować o tym, czy zastosuje dodatkowe warunki. Przedmiot tych warunków został określony w art. 15 projektu. </w:t>
            </w:r>
          </w:p>
          <w:p w14:paraId="72265098" w14:textId="77777777" w:rsidR="009B4997" w:rsidRPr="00584929" w:rsidRDefault="009B4997" w:rsidP="009B4997">
            <w:pPr>
              <w:ind w:left="33"/>
              <w:jc w:val="both"/>
              <w:rPr>
                <w:rFonts w:ascii="Times New Roman" w:hAnsi="Times New Roman" w:cs="Times New Roman"/>
              </w:rPr>
            </w:pPr>
            <w:r w:rsidRPr="00584929">
              <w:rPr>
                <w:rFonts w:ascii="Times New Roman" w:hAnsi="Times New Roman" w:cs="Times New Roman"/>
              </w:rPr>
              <w:t>Zgodnie z art. 15 ust. 1 warunki mogą dotyczyć:</w:t>
            </w:r>
          </w:p>
          <w:p w14:paraId="42EED1CD" w14:textId="77777777" w:rsidR="009B4997" w:rsidRPr="00584929" w:rsidRDefault="009B4997" w:rsidP="00A07FD4">
            <w:pPr>
              <w:pStyle w:val="Akapitzlist"/>
              <w:numPr>
                <w:ilvl w:val="0"/>
                <w:numId w:val="33"/>
              </w:numPr>
              <w:ind w:left="317" w:hanging="284"/>
              <w:jc w:val="both"/>
              <w:rPr>
                <w:sz w:val="22"/>
                <w:szCs w:val="22"/>
              </w:rPr>
            </w:pPr>
            <w:r w:rsidRPr="00584929">
              <w:rPr>
                <w:sz w:val="22"/>
                <w:szCs w:val="22"/>
              </w:rPr>
              <w:t>obowiązku poinformowania o źródle, czasie wytworzenia i pozyskania informacji od podmiotu zobowiązanego,</w:t>
            </w:r>
          </w:p>
          <w:p w14:paraId="5EF3859B" w14:textId="77777777" w:rsidR="009B4997" w:rsidRPr="00584929" w:rsidRDefault="009B4997" w:rsidP="00A07FD4">
            <w:pPr>
              <w:pStyle w:val="Akapitzlist"/>
              <w:numPr>
                <w:ilvl w:val="0"/>
                <w:numId w:val="33"/>
              </w:numPr>
              <w:ind w:left="317" w:hanging="284"/>
              <w:jc w:val="both"/>
              <w:rPr>
                <w:sz w:val="22"/>
                <w:szCs w:val="22"/>
              </w:rPr>
            </w:pPr>
            <w:r w:rsidRPr="00584929">
              <w:rPr>
                <w:sz w:val="22"/>
                <w:szCs w:val="22"/>
              </w:rPr>
              <w:t>obowiązku poinformowania o przetworzeniu informacji ponownie wykorzystywanej,</w:t>
            </w:r>
          </w:p>
          <w:p w14:paraId="3F5966DF" w14:textId="77777777" w:rsidR="009B4997" w:rsidRPr="00584929" w:rsidRDefault="009B4997" w:rsidP="00A07FD4">
            <w:pPr>
              <w:pStyle w:val="Akapitzlist"/>
              <w:numPr>
                <w:ilvl w:val="0"/>
                <w:numId w:val="33"/>
              </w:numPr>
              <w:ind w:left="317" w:hanging="284"/>
              <w:jc w:val="both"/>
            </w:pPr>
            <w:r w:rsidRPr="00584929">
              <w:rPr>
                <w:sz w:val="22"/>
                <w:szCs w:val="22"/>
              </w:rPr>
              <w:t>zakresu odpowiedzialności podmiotu zobowiązanego za udostępniane lub przekazywane informacje.</w:t>
            </w:r>
          </w:p>
          <w:p w14:paraId="63CC5180" w14:textId="77777777" w:rsidR="009B4997" w:rsidRPr="00584929" w:rsidRDefault="009B4997" w:rsidP="009B4997">
            <w:pPr>
              <w:ind w:left="33"/>
              <w:jc w:val="both"/>
              <w:rPr>
                <w:rFonts w:ascii="Times New Roman" w:hAnsi="Times New Roman" w:cs="Times New Roman"/>
              </w:rPr>
            </w:pPr>
            <w:r w:rsidRPr="00584929">
              <w:rPr>
                <w:rFonts w:ascii="Times New Roman" w:hAnsi="Times New Roman" w:cs="Times New Roman"/>
              </w:rPr>
              <w:lastRenderedPageBreak/>
              <w:t xml:space="preserve">Oprócz warunków fakultatywnych o charakterze ogólnym (art. 15 ust. 1). W art. 15  ust. 2 projektu określono grupę warunków, która dotyczy części zasobów muzeów państwowych i samorządowych, bibliotek publicznych, bibliotek naukowych oraz archiwów. </w:t>
            </w:r>
          </w:p>
          <w:p w14:paraId="305F8932" w14:textId="614F7617" w:rsidR="009B4997" w:rsidRPr="00584929" w:rsidRDefault="009B4997" w:rsidP="009B4997">
            <w:pPr>
              <w:ind w:left="33"/>
              <w:jc w:val="both"/>
              <w:rPr>
                <w:rFonts w:ascii="Times New Roman" w:hAnsi="Times New Roman" w:cs="Times New Roman"/>
                <w:color w:val="FF0000"/>
              </w:rPr>
            </w:pPr>
            <w:r w:rsidRPr="00584929">
              <w:rPr>
                <w:rFonts w:ascii="Times New Roman" w:hAnsi="Times New Roman" w:cs="Times New Roman"/>
              </w:rPr>
              <w:t>„Fakultatywność określania warunków (…) sprowadza się jedynie do podjęcia decyzji o ich zastosowaniu. Treść tych warunków ustawodawca ustalił (…). Podmiot zobowiązany nie ma więc możliwości dowolnego określania warunków ponownego wykorzystywania ISP.” (zob. B. Fischer, A. Piskorz-Ryń, M. Sakowska-Baryła, J. Wyporska-Frankiewicz, Ustawa o ponownym wykorzystywaniu informacji sektora publicznego. Komentarz. Wolters Kluwer, wydanie 2, Warszawa 2019, str. 307</w:t>
            </w:r>
            <w:r w:rsidRPr="00584929">
              <w:rPr>
                <w:rStyle w:val="Odwoanieprzypisudolnego"/>
                <w:rFonts w:ascii="Times New Roman" w:hAnsi="Times New Roman" w:cs="Times New Roman"/>
              </w:rPr>
              <w:footnoteReference w:id="8"/>
            </w:r>
            <w:r w:rsidR="00C84837">
              <w:rPr>
                <w:rFonts w:ascii="Times New Roman" w:hAnsi="Times New Roman" w:cs="Times New Roman"/>
                <w:vertAlign w:val="superscript"/>
              </w:rPr>
              <w:t>)</w:t>
            </w:r>
            <w:r w:rsidRPr="00584929">
              <w:rPr>
                <w:rFonts w:ascii="Times New Roman" w:hAnsi="Times New Roman" w:cs="Times New Roman"/>
              </w:rPr>
              <w:t>).</w:t>
            </w:r>
          </w:p>
          <w:p w14:paraId="5C1F1A01" w14:textId="77777777" w:rsidR="009B4997" w:rsidRPr="00584929" w:rsidRDefault="009B4997" w:rsidP="009B4997">
            <w:pPr>
              <w:ind w:left="33"/>
              <w:jc w:val="both"/>
            </w:pPr>
            <w:r w:rsidRPr="00584929">
              <w:rPr>
                <w:rFonts w:ascii="Times New Roman" w:hAnsi="Times New Roman" w:cs="Times New Roman"/>
              </w:rPr>
              <w:t xml:space="preserve">Podmiotowi zobowiązanemu pozostawiono zatem jedynie możliwość podjęcia decyzji co do określenia dodatkowych warunków ponownego wykorzystywania w przypadkach innych niż określone w art. 14 ust. 2 i 4, a treść samych warunków została ściśle określona. </w:t>
            </w:r>
          </w:p>
          <w:p w14:paraId="30358636" w14:textId="77777777" w:rsidR="009B4997" w:rsidRPr="00584929" w:rsidRDefault="009B4997" w:rsidP="009B4997">
            <w:pPr>
              <w:ind w:left="33"/>
              <w:jc w:val="both"/>
              <w:rPr>
                <w:rFonts w:ascii="Times New Roman" w:hAnsi="Times New Roman" w:cs="Times New Roman"/>
              </w:rPr>
            </w:pPr>
            <w:r w:rsidRPr="00584929">
              <w:rPr>
                <w:rFonts w:ascii="Times New Roman" w:hAnsi="Times New Roman" w:cs="Times New Roman"/>
              </w:rPr>
              <w:t>Mając jednak na uwadze potencjalne wątpliwości interpretacyjne przepis art. 14 ust. 5 zostanie zmieniony poprzez wskazanie, że podmiot zobowiązany może określić warunki ponownego wykorzystywania, o których mowa w art. 15, w przypadkach innych niż określone w ust. 2 i 4 (dodanie wyrażenia: „o których mowa w art. 15”).</w:t>
            </w:r>
          </w:p>
          <w:p w14:paraId="11B015D6" w14:textId="106A8409" w:rsidR="009B4997" w:rsidRPr="00584929" w:rsidRDefault="009B4997" w:rsidP="009B4997">
            <w:pPr>
              <w:jc w:val="both"/>
              <w:rPr>
                <w:rFonts w:ascii="Times New Roman" w:hAnsi="Times New Roman" w:cs="Times New Roman"/>
              </w:rPr>
            </w:pPr>
            <w:r w:rsidRPr="00584929">
              <w:rPr>
                <w:rFonts w:ascii="Times New Roman" w:hAnsi="Times New Roman" w:cs="Times New Roman"/>
              </w:rPr>
              <w:t xml:space="preserve">Dodatkowo należy wyjaśnić, że określanie warunków ponownego wykorzystywania </w:t>
            </w:r>
            <w:r w:rsidRPr="00584929">
              <w:rPr>
                <w:rFonts w:ascii="Times New Roman" w:hAnsi="Times New Roman" w:cs="Times New Roman"/>
              </w:rPr>
              <w:lastRenderedPageBreak/>
              <w:t>(obligatoryjnych lub fakultatywnych) stanowi wyjątek od zasady bezwarunkowości i powinien być on interpretowany ściśle. Oprócz regulacji art. 14 i 15 podmiot zobowiązany powinien również stosować się do wskazań art. 16 projektu ustawy, zgodnie z którym warunki ponownego wykorzystywania nie mogą w sposób nieuzasadniony ograniczać  możliwości ponownego wykorzystywania ISP. Przepis ten zostanie również uzupełniony o dodatkowe kryteria jakie spełniać powinny warunki ponownego wykorzystywania, tj. kryteria obiektywizmu,  proporcjonalności oraz niedyskryminacji.</w:t>
            </w:r>
          </w:p>
        </w:tc>
      </w:tr>
      <w:tr w:rsidR="006D6263" w:rsidRPr="00584929" w14:paraId="3838D947" w14:textId="77777777" w:rsidTr="00D94ED7">
        <w:tc>
          <w:tcPr>
            <w:tcW w:w="676" w:type="dxa"/>
            <w:shd w:val="clear" w:color="auto" w:fill="auto"/>
          </w:tcPr>
          <w:p w14:paraId="1E6AB7A8" w14:textId="7F68BD13" w:rsidR="006D6263" w:rsidRPr="00584929" w:rsidRDefault="006D6263" w:rsidP="004A29FC">
            <w:pPr>
              <w:pStyle w:val="Akapitzlist"/>
              <w:numPr>
                <w:ilvl w:val="0"/>
                <w:numId w:val="20"/>
              </w:numPr>
              <w:rPr>
                <w:sz w:val="22"/>
                <w:szCs w:val="22"/>
              </w:rPr>
            </w:pPr>
          </w:p>
        </w:tc>
        <w:tc>
          <w:tcPr>
            <w:tcW w:w="1968" w:type="dxa"/>
            <w:shd w:val="clear" w:color="auto" w:fill="auto"/>
          </w:tcPr>
          <w:p w14:paraId="7F146DDC" w14:textId="572FB4F3" w:rsidR="006D6263" w:rsidRPr="00584929" w:rsidRDefault="00D21468" w:rsidP="004A29FC">
            <w:pPr>
              <w:rPr>
                <w:rFonts w:ascii="Times New Roman" w:hAnsi="Times New Roman" w:cs="Times New Roman"/>
              </w:rPr>
            </w:pPr>
            <w:r w:rsidRPr="00584929">
              <w:rPr>
                <w:rFonts w:ascii="Times New Roman" w:hAnsi="Times New Roman" w:cs="Times New Roman"/>
              </w:rPr>
              <w:t xml:space="preserve">Ministerstwo Kultury i Dziedzictwa Narodowego </w:t>
            </w:r>
          </w:p>
        </w:tc>
        <w:tc>
          <w:tcPr>
            <w:tcW w:w="1526" w:type="dxa"/>
            <w:shd w:val="clear" w:color="auto" w:fill="auto"/>
          </w:tcPr>
          <w:p w14:paraId="4DC79C37" w14:textId="5D5B949C" w:rsidR="006D6263" w:rsidRPr="00584929" w:rsidRDefault="00D21468" w:rsidP="004A29FC">
            <w:pPr>
              <w:rPr>
                <w:rFonts w:ascii="Times New Roman" w:hAnsi="Times New Roman" w:cs="Times New Roman"/>
              </w:rPr>
            </w:pPr>
            <w:r w:rsidRPr="00584929">
              <w:rPr>
                <w:rFonts w:ascii="Times New Roman" w:hAnsi="Times New Roman" w:cs="Times New Roman"/>
              </w:rPr>
              <w:t>Art. 14 ust. 5</w:t>
            </w:r>
          </w:p>
        </w:tc>
        <w:tc>
          <w:tcPr>
            <w:tcW w:w="5323" w:type="dxa"/>
            <w:shd w:val="clear" w:color="auto" w:fill="auto"/>
          </w:tcPr>
          <w:p w14:paraId="07F852AB" w14:textId="25E669D7" w:rsidR="00906601" w:rsidRPr="00584929" w:rsidRDefault="00D21468" w:rsidP="006A3FAE">
            <w:pPr>
              <w:jc w:val="both"/>
              <w:rPr>
                <w:rFonts w:ascii="Times New Roman" w:hAnsi="Times New Roman" w:cs="Times New Roman"/>
              </w:rPr>
            </w:pPr>
            <w:r w:rsidRPr="00584929">
              <w:rPr>
                <w:rFonts w:ascii="Times New Roman" w:hAnsi="Times New Roman" w:cs="Times New Roman"/>
              </w:rPr>
              <w:t>Konieczne jest jednoznaczne ustalenie, czy w przypadku tzw. zbiorów wrażliwych (obiekty martyrologiczne i zawierające symbole narodowe) jest możliwe nakładanie warunków ponownego wykorzystania na podstawie art. 14 ust 5. Należy zapewnić mechanizmy gwarantujące bezpieczeństwo w udostępnianiu tych dóbr i brać pod uwagę okoliczność, iż udostępniane wizerunki i metadane zbiorów muzealnych są częścią narodowego dziedzictwa kulturowego i stanowią symbole ważne dla kraju. Udostępnienie ważnych symboli podmiotom prywatnym do celów komercyjnych powinno odbywać się zgodnie z procedurami gwarantującymi bezpieczeństwo kulturowe państwa polskiego.</w:t>
            </w:r>
          </w:p>
        </w:tc>
        <w:tc>
          <w:tcPr>
            <w:tcW w:w="4785" w:type="dxa"/>
            <w:shd w:val="clear" w:color="auto" w:fill="auto"/>
          </w:tcPr>
          <w:p w14:paraId="156F4761" w14:textId="77777777" w:rsidR="006D6263" w:rsidRPr="00584929" w:rsidRDefault="009B4997" w:rsidP="009B4997">
            <w:pPr>
              <w:rPr>
                <w:rFonts w:ascii="Times New Roman" w:hAnsi="Times New Roman" w:cs="Times New Roman"/>
                <w:b/>
              </w:rPr>
            </w:pPr>
            <w:r w:rsidRPr="00584929">
              <w:rPr>
                <w:rFonts w:ascii="Times New Roman" w:hAnsi="Times New Roman" w:cs="Times New Roman"/>
                <w:b/>
              </w:rPr>
              <w:t xml:space="preserve">Wyjaśnienie </w:t>
            </w:r>
          </w:p>
          <w:p w14:paraId="654236B0" w14:textId="76A747A7" w:rsidR="009B4997" w:rsidRPr="00584929" w:rsidRDefault="009B4997" w:rsidP="009B4997">
            <w:pPr>
              <w:jc w:val="both"/>
              <w:rPr>
                <w:rFonts w:ascii="Times New Roman" w:hAnsi="Times New Roman" w:cs="Times New Roman"/>
                <w:b/>
              </w:rPr>
            </w:pPr>
            <w:r w:rsidRPr="00584929">
              <w:rPr>
                <w:rFonts w:ascii="Times New Roman" w:hAnsi="Times New Roman" w:cs="Times New Roman"/>
              </w:rPr>
              <w:t>Do art. 15 ust. 2 dodany zostanie pkt stanowiący podstawę umożliwiającą określanie przez muzea, biblioteki oraz archiwa warunków ponownego wykorzystywania ISP  w działalności komercyjnej lub na określonych polach eksploatacji, jeżeli dotyczyć będą one zbiorów o charakterze martyrologicznym oraz zawierają godło, barwy i hymn Rzeczypospolitej Polskiej, a także herby, reprodukcje orderów, odznaczeń lub odznak honorowych, odznak lub oznak wojskowych bądź innych odznaczeń.</w:t>
            </w:r>
          </w:p>
        </w:tc>
      </w:tr>
      <w:tr w:rsidR="006D6263" w:rsidRPr="00584929" w14:paraId="47F41C8C" w14:textId="77777777" w:rsidTr="00D94ED7">
        <w:tc>
          <w:tcPr>
            <w:tcW w:w="676" w:type="dxa"/>
            <w:shd w:val="clear" w:color="auto" w:fill="auto"/>
          </w:tcPr>
          <w:p w14:paraId="164687DD"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5F01297F" w14:textId="17E3E8E7" w:rsidR="006D6263" w:rsidRPr="00584929" w:rsidRDefault="00D21468" w:rsidP="004A29FC">
            <w:pPr>
              <w:rPr>
                <w:rFonts w:ascii="Times New Roman" w:hAnsi="Times New Roman" w:cs="Times New Roman"/>
              </w:rPr>
            </w:pPr>
            <w:r w:rsidRPr="00584929">
              <w:rPr>
                <w:rFonts w:ascii="Times New Roman" w:hAnsi="Times New Roman" w:cs="Times New Roman"/>
              </w:rPr>
              <w:t>Ministerstwo Kultury</w:t>
            </w:r>
            <w:r w:rsidRPr="00584929">
              <w:t xml:space="preserve"> </w:t>
            </w:r>
            <w:r w:rsidRPr="00584929">
              <w:rPr>
                <w:rFonts w:ascii="Times New Roman" w:hAnsi="Times New Roman" w:cs="Times New Roman"/>
              </w:rPr>
              <w:t>i Dziedzictwa Narodowego</w:t>
            </w:r>
          </w:p>
          <w:p w14:paraId="2AD6F3D7" w14:textId="4670D057" w:rsidR="00D21468" w:rsidRPr="00584929" w:rsidRDefault="00D21468" w:rsidP="004A29FC">
            <w:pPr>
              <w:rPr>
                <w:rFonts w:ascii="Times New Roman" w:hAnsi="Times New Roman" w:cs="Times New Roman"/>
              </w:rPr>
            </w:pPr>
          </w:p>
        </w:tc>
        <w:tc>
          <w:tcPr>
            <w:tcW w:w="1526" w:type="dxa"/>
            <w:shd w:val="clear" w:color="auto" w:fill="auto"/>
          </w:tcPr>
          <w:p w14:paraId="13554EAF" w14:textId="5CD4D16B" w:rsidR="006D6263" w:rsidRPr="00584929" w:rsidRDefault="00D21468" w:rsidP="004A29FC">
            <w:pPr>
              <w:rPr>
                <w:rFonts w:ascii="Times New Roman" w:hAnsi="Times New Roman" w:cs="Times New Roman"/>
              </w:rPr>
            </w:pPr>
            <w:r w:rsidRPr="00584929">
              <w:rPr>
                <w:rFonts w:ascii="Times New Roman" w:hAnsi="Times New Roman" w:cs="Times New Roman"/>
              </w:rPr>
              <w:t>Art. 15 ust 1 i 2</w:t>
            </w:r>
          </w:p>
        </w:tc>
        <w:tc>
          <w:tcPr>
            <w:tcW w:w="5323" w:type="dxa"/>
            <w:shd w:val="clear" w:color="auto" w:fill="auto"/>
          </w:tcPr>
          <w:p w14:paraId="7DBEED13" w14:textId="24B0A98B" w:rsidR="006D6263" w:rsidRPr="00584929" w:rsidRDefault="00D21468" w:rsidP="006A3FAE">
            <w:pPr>
              <w:jc w:val="both"/>
              <w:rPr>
                <w:rFonts w:ascii="Times New Roman" w:hAnsi="Times New Roman" w:cs="Times New Roman"/>
              </w:rPr>
            </w:pPr>
            <w:r w:rsidRPr="00584929">
              <w:rPr>
                <w:rFonts w:ascii="Times New Roman" w:hAnsi="Times New Roman" w:cs="Times New Roman"/>
              </w:rPr>
              <w:t>Ustępy 1 i 2 są ze sobą niespójne. Jeżeli ust. 1 wskazuje czego „mogą dotyczyć” warunki (a nie „dotyczą”), oznacza to, ze nie jest to katalog z</w:t>
            </w:r>
            <w:r w:rsidR="006A3FAE" w:rsidRPr="00584929">
              <w:rPr>
                <w:rFonts w:ascii="Times New Roman" w:hAnsi="Times New Roman" w:cs="Times New Roman"/>
              </w:rPr>
              <w:t>amknięty, zatem sformułowanie w </w:t>
            </w:r>
            <w:r w:rsidRPr="00584929">
              <w:rPr>
                <w:rFonts w:ascii="Times New Roman" w:hAnsi="Times New Roman" w:cs="Times New Roman"/>
              </w:rPr>
              <w:t xml:space="preserve">ust. 2 mówiące, że możliwe jest określenie warunków innych niż w ust. 1 jest nadmiarowe. Wątpliwości budzi jednocześnie przyczyna, dla której przepisując treść ust. 2 z wcześniejszej ustawy re-use zachowano fragment dotyczący roszczeń osób trzecich, natomiast pominięto dotyczący obiektów </w:t>
            </w:r>
            <w:r w:rsidRPr="00584929">
              <w:rPr>
                <w:rFonts w:ascii="Times New Roman" w:hAnsi="Times New Roman" w:cs="Times New Roman"/>
              </w:rPr>
              <w:lastRenderedPageBreak/>
              <w:t>martyrologicznych i zawierających symbole narodowe (art. 14 ust 2 ustawy re-use). (Wątpliwości te wskazano również w ekspertyzie, s. 164 „Warunki udostępniania”).</w:t>
            </w:r>
          </w:p>
        </w:tc>
        <w:tc>
          <w:tcPr>
            <w:tcW w:w="4785" w:type="dxa"/>
            <w:shd w:val="clear" w:color="auto" w:fill="auto"/>
          </w:tcPr>
          <w:p w14:paraId="624DBDBB" w14:textId="7A3A635F" w:rsidR="00D21468" w:rsidRPr="00584929" w:rsidRDefault="00540BD2" w:rsidP="004A29FC">
            <w:pPr>
              <w:rPr>
                <w:rFonts w:ascii="Times New Roman" w:hAnsi="Times New Roman" w:cs="Times New Roman"/>
                <w:b/>
              </w:rPr>
            </w:pPr>
            <w:r w:rsidRPr="00584929">
              <w:rPr>
                <w:rFonts w:ascii="Times New Roman" w:hAnsi="Times New Roman" w:cs="Times New Roman"/>
                <w:b/>
              </w:rPr>
              <w:lastRenderedPageBreak/>
              <w:t>Wyjaśnieni</w:t>
            </w:r>
            <w:r w:rsidR="005D4C04" w:rsidRPr="00584929">
              <w:rPr>
                <w:rFonts w:ascii="Times New Roman" w:hAnsi="Times New Roman" w:cs="Times New Roman"/>
                <w:b/>
              </w:rPr>
              <w:t>e</w:t>
            </w:r>
            <w:r w:rsidRPr="00584929">
              <w:rPr>
                <w:rFonts w:ascii="Times New Roman" w:hAnsi="Times New Roman" w:cs="Times New Roman"/>
                <w:b/>
              </w:rPr>
              <w:t xml:space="preserve"> </w:t>
            </w:r>
          </w:p>
          <w:p w14:paraId="39B6BAA1" w14:textId="77777777" w:rsidR="00540BD2" w:rsidRPr="00584929" w:rsidRDefault="00540BD2" w:rsidP="00540BD2">
            <w:pPr>
              <w:jc w:val="both"/>
              <w:rPr>
                <w:rFonts w:ascii="Times New Roman" w:hAnsi="Times New Roman" w:cs="Times New Roman"/>
              </w:rPr>
            </w:pPr>
            <w:r w:rsidRPr="00584929">
              <w:rPr>
                <w:rFonts w:ascii="Times New Roman" w:hAnsi="Times New Roman" w:cs="Times New Roman"/>
              </w:rPr>
              <w:t xml:space="preserve">Art. 14 ust. 1 projektu ustawy wyraża zasadę bezwarunkowości ponownego wykorzystywania ISP, od której projekt ustawy przewiduje określone wyjątki. Przewidziano dwa rodzaje warunków ponownego wykorzystywania: </w:t>
            </w:r>
          </w:p>
          <w:p w14:paraId="32228669" w14:textId="77777777" w:rsidR="00540BD2" w:rsidRPr="00584929" w:rsidRDefault="00540BD2" w:rsidP="00A07FD4">
            <w:pPr>
              <w:pStyle w:val="Akapitzlist"/>
              <w:numPr>
                <w:ilvl w:val="0"/>
                <w:numId w:val="32"/>
              </w:numPr>
              <w:ind w:left="317" w:hanging="284"/>
              <w:jc w:val="both"/>
              <w:rPr>
                <w:sz w:val="22"/>
                <w:szCs w:val="22"/>
              </w:rPr>
            </w:pPr>
            <w:r w:rsidRPr="00584929">
              <w:rPr>
                <w:sz w:val="22"/>
                <w:szCs w:val="22"/>
              </w:rPr>
              <w:t xml:space="preserve">obligatoryjne (art. 14 ust. 2 i 4) </w:t>
            </w:r>
          </w:p>
          <w:p w14:paraId="718B2E67" w14:textId="77777777" w:rsidR="00540BD2" w:rsidRPr="00584929" w:rsidRDefault="00540BD2" w:rsidP="00A07FD4">
            <w:pPr>
              <w:pStyle w:val="Akapitzlist"/>
              <w:numPr>
                <w:ilvl w:val="0"/>
                <w:numId w:val="32"/>
              </w:numPr>
              <w:ind w:left="317" w:hanging="284"/>
              <w:jc w:val="both"/>
              <w:rPr>
                <w:sz w:val="22"/>
                <w:szCs w:val="22"/>
              </w:rPr>
            </w:pPr>
            <w:r w:rsidRPr="00584929">
              <w:rPr>
                <w:sz w:val="22"/>
                <w:szCs w:val="22"/>
              </w:rPr>
              <w:t xml:space="preserve">fakultatywne (art. 14. ust. 5). </w:t>
            </w:r>
          </w:p>
          <w:p w14:paraId="03801178" w14:textId="77777777" w:rsidR="00540BD2" w:rsidRPr="00584929" w:rsidRDefault="00540BD2" w:rsidP="00540BD2">
            <w:pPr>
              <w:ind w:left="33"/>
              <w:jc w:val="both"/>
              <w:rPr>
                <w:rFonts w:ascii="Times New Roman" w:hAnsi="Times New Roman" w:cs="Times New Roman"/>
              </w:rPr>
            </w:pPr>
            <w:r w:rsidRPr="00584929">
              <w:rPr>
                <w:rFonts w:ascii="Times New Roman" w:hAnsi="Times New Roman" w:cs="Times New Roman"/>
              </w:rPr>
              <w:lastRenderedPageBreak/>
              <w:t xml:space="preserve">Należy jednak podkreślić, że fakultatywność, o której mowa w tym przypadku została w znacznej mierze ograniczona, bowiem podmiot zobowiązany może jedynie zdecydować o tym, czy zastosuje dodatkowe warunki. Przedmiot tych warunków został określony w art. 15 projektu. </w:t>
            </w:r>
          </w:p>
          <w:p w14:paraId="632AD95F" w14:textId="77777777" w:rsidR="00540BD2" w:rsidRPr="00584929" w:rsidRDefault="00540BD2" w:rsidP="00540BD2">
            <w:pPr>
              <w:ind w:left="33"/>
              <w:jc w:val="both"/>
              <w:rPr>
                <w:rFonts w:ascii="Times New Roman" w:hAnsi="Times New Roman" w:cs="Times New Roman"/>
              </w:rPr>
            </w:pPr>
            <w:r w:rsidRPr="00584929">
              <w:rPr>
                <w:rFonts w:ascii="Times New Roman" w:hAnsi="Times New Roman" w:cs="Times New Roman"/>
              </w:rPr>
              <w:t>Zgodnie z art. 15 ust. 1 warunki mogą dotyczyć:</w:t>
            </w:r>
          </w:p>
          <w:p w14:paraId="7DE1F4DD" w14:textId="77777777" w:rsidR="00540BD2" w:rsidRPr="00584929" w:rsidRDefault="00540BD2" w:rsidP="00A07FD4">
            <w:pPr>
              <w:pStyle w:val="Akapitzlist"/>
              <w:numPr>
                <w:ilvl w:val="0"/>
                <w:numId w:val="33"/>
              </w:numPr>
              <w:ind w:left="317" w:hanging="284"/>
              <w:jc w:val="both"/>
              <w:rPr>
                <w:sz w:val="22"/>
                <w:szCs w:val="22"/>
              </w:rPr>
            </w:pPr>
            <w:r w:rsidRPr="00584929">
              <w:rPr>
                <w:sz w:val="22"/>
                <w:szCs w:val="22"/>
              </w:rPr>
              <w:t>obowiązku poinformowania o źródle, czasie wytworzenia i pozyskania informacji od podmiotu zobowiązanego,</w:t>
            </w:r>
          </w:p>
          <w:p w14:paraId="607BBCF1" w14:textId="77777777" w:rsidR="00540BD2" w:rsidRPr="00584929" w:rsidRDefault="00540BD2" w:rsidP="00A07FD4">
            <w:pPr>
              <w:pStyle w:val="Akapitzlist"/>
              <w:numPr>
                <w:ilvl w:val="0"/>
                <w:numId w:val="33"/>
              </w:numPr>
              <w:ind w:left="317" w:hanging="284"/>
              <w:jc w:val="both"/>
              <w:rPr>
                <w:sz w:val="22"/>
                <w:szCs w:val="22"/>
              </w:rPr>
            </w:pPr>
            <w:r w:rsidRPr="00584929">
              <w:rPr>
                <w:sz w:val="22"/>
                <w:szCs w:val="22"/>
              </w:rPr>
              <w:t>obowiązku poinformowania o przetworzeniu informacji ponownie wykorzystywanej,</w:t>
            </w:r>
          </w:p>
          <w:p w14:paraId="060C50BB" w14:textId="77777777" w:rsidR="00540BD2" w:rsidRPr="00584929" w:rsidRDefault="00540BD2" w:rsidP="00A07FD4">
            <w:pPr>
              <w:pStyle w:val="Akapitzlist"/>
              <w:numPr>
                <w:ilvl w:val="0"/>
                <w:numId w:val="33"/>
              </w:numPr>
              <w:ind w:left="317" w:hanging="284"/>
              <w:jc w:val="both"/>
            </w:pPr>
            <w:r w:rsidRPr="00584929">
              <w:rPr>
                <w:sz w:val="22"/>
                <w:szCs w:val="22"/>
              </w:rPr>
              <w:t>zakresu odpowiedzialności podmiotu zobowiązanego za udostępniane lub przekazywane informacje.</w:t>
            </w:r>
          </w:p>
          <w:p w14:paraId="2181CDFB" w14:textId="77777777" w:rsidR="00540BD2" w:rsidRPr="00584929" w:rsidRDefault="00540BD2" w:rsidP="00540BD2">
            <w:pPr>
              <w:ind w:left="33"/>
              <w:jc w:val="both"/>
              <w:rPr>
                <w:rFonts w:ascii="Times New Roman" w:hAnsi="Times New Roman" w:cs="Times New Roman"/>
              </w:rPr>
            </w:pPr>
            <w:r w:rsidRPr="00584929">
              <w:rPr>
                <w:rFonts w:ascii="Times New Roman" w:hAnsi="Times New Roman" w:cs="Times New Roman"/>
              </w:rPr>
              <w:t xml:space="preserve">Oprócz warunków fakultatywnych o charakterze ogólnym (art. 15 ust. 1). W art. 15  ust. 2 projektu określono grupę warunków, która dotyczy części zasobów muzeów państwowych i samorządowych, bibliotek publicznych, bibliotek naukowych oraz archiwów. </w:t>
            </w:r>
          </w:p>
          <w:p w14:paraId="0BC7EAEE" w14:textId="7B305F23" w:rsidR="00540BD2" w:rsidRPr="00584929" w:rsidRDefault="00540BD2" w:rsidP="00540BD2">
            <w:pPr>
              <w:ind w:left="33"/>
              <w:jc w:val="both"/>
              <w:rPr>
                <w:rFonts w:ascii="Times New Roman" w:hAnsi="Times New Roman" w:cs="Times New Roman"/>
                <w:color w:val="FF0000"/>
              </w:rPr>
            </w:pPr>
            <w:r w:rsidRPr="00584929">
              <w:rPr>
                <w:rFonts w:ascii="Times New Roman" w:hAnsi="Times New Roman" w:cs="Times New Roman"/>
              </w:rPr>
              <w:t>„Fakultatywność określania warunków (…) sprowadza się jedynie do podjęcia decyzji o ich zastosowaniu. Treść tych warunków ustawodawca ustalił (…). Podmiot zobowiązany nie ma więc możliwości dowolnego określania warunków ponownego wykorzystywania ISP.” (zob. B. Fischer, A. Piskorz-Ryń, M. Sakowska-Baryła, J. Wyporska-Frankiewicz, Ustawa o ponownym wykorzystywaniu informacji sektora publicznego. Komentarz. Wolters Kluwer, wydanie 2, Warszawa 2019, str. 307</w:t>
            </w:r>
            <w:r w:rsidRPr="00584929">
              <w:rPr>
                <w:rStyle w:val="Odwoanieprzypisudolnego"/>
                <w:rFonts w:ascii="Times New Roman" w:hAnsi="Times New Roman" w:cs="Times New Roman"/>
              </w:rPr>
              <w:footnoteReference w:id="9"/>
            </w:r>
            <w:r w:rsidR="00C84837">
              <w:rPr>
                <w:rFonts w:ascii="Times New Roman" w:hAnsi="Times New Roman" w:cs="Times New Roman"/>
                <w:vertAlign w:val="superscript"/>
              </w:rPr>
              <w:t>)</w:t>
            </w:r>
            <w:r w:rsidRPr="00584929">
              <w:rPr>
                <w:rFonts w:ascii="Times New Roman" w:hAnsi="Times New Roman" w:cs="Times New Roman"/>
              </w:rPr>
              <w:t>).</w:t>
            </w:r>
          </w:p>
          <w:p w14:paraId="0F8C70A6" w14:textId="77777777" w:rsidR="00540BD2" w:rsidRPr="00584929" w:rsidRDefault="00540BD2" w:rsidP="00540BD2">
            <w:pPr>
              <w:ind w:left="33"/>
              <w:jc w:val="both"/>
            </w:pPr>
            <w:r w:rsidRPr="00584929">
              <w:rPr>
                <w:rFonts w:ascii="Times New Roman" w:hAnsi="Times New Roman" w:cs="Times New Roman"/>
              </w:rPr>
              <w:lastRenderedPageBreak/>
              <w:t xml:space="preserve">Podmiotowi zobowiązanemu pozostawiono zatem jedynie możliwość podjęcia decyzji co do określenia dodatkowych warunków ponownego wykorzystywania w przypadkach innych niż określone w art. 14 ust. 2 i 4, a treść samych warunków została ściśle określona. </w:t>
            </w:r>
          </w:p>
          <w:p w14:paraId="19CA4F06" w14:textId="77777777" w:rsidR="00540BD2" w:rsidRPr="00584929" w:rsidRDefault="00540BD2" w:rsidP="00540BD2">
            <w:pPr>
              <w:ind w:left="33"/>
              <w:jc w:val="both"/>
              <w:rPr>
                <w:rFonts w:ascii="Times New Roman" w:hAnsi="Times New Roman" w:cs="Times New Roman"/>
              </w:rPr>
            </w:pPr>
            <w:r w:rsidRPr="00584929">
              <w:rPr>
                <w:rFonts w:ascii="Times New Roman" w:hAnsi="Times New Roman" w:cs="Times New Roman"/>
              </w:rPr>
              <w:t>Mając jednak na uwadze potencjalne wątpliwości interpretacyjne przepis art. 14 ust. 5 zostanie zmieniony poprzez wskazanie, że podmiot zobowiązany może określić warunki ponownego wykorzystywania, o których mowa w art. 15, w przypadkach innych niż określone w ust. 2 i 4 (dodanie wyrażenia: „o których mowa w art. 15”).</w:t>
            </w:r>
          </w:p>
          <w:p w14:paraId="226C6A4A" w14:textId="77777777" w:rsidR="006D6263" w:rsidRPr="00584929" w:rsidRDefault="00540BD2" w:rsidP="00540BD2">
            <w:pPr>
              <w:jc w:val="both"/>
              <w:rPr>
                <w:rFonts w:ascii="Times New Roman" w:hAnsi="Times New Roman" w:cs="Times New Roman"/>
              </w:rPr>
            </w:pPr>
            <w:r w:rsidRPr="00584929">
              <w:rPr>
                <w:rFonts w:ascii="Times New Roman" w:hAnsi="Times New Roman" w:cs="Times New Roman"/>
              </w:rPr>
              <w:t>Dodatkowo należy wyjaśnić, że określanie warunków ponownego wykorzystywania (obligatoryjnych lub fakultatywnych) stanowi wyjątek od zasady bezwarunkowości i powinien być on interpretowany ściśle. Oprócz regulacji art. 14 i 15 podmiot zobowiązany powinien również stosować się do wskazań art. 16 projektu ustawy, zgodnie z którym warunki ponownego wykorzystywania nie mogą w sposób nieuzasadniony ograniczać  możliwości ponownego wykorzystywania ISP. Przepis ten zostanie również uzupełniony o dodatkowe kryteria jakie spełniać powinny warunki ponownego wykorzystywania, tj. kryteria obiektywizmu,  proporcjonalności oraz niedyskryminacji.</w:t>
            </w:r>
          </w:p>
          <w:p w14:paraId="196161DD" w14:textId="2630F521" w:rsidR="00540BD2" w:rsidRPr="00584929" w:rsidRDefault="00540BD2" w:rsidP="00540BD2">
            <w:pPr>
              <w:jc w:val="both"/>
              <w:rPr>
                <w:rFonts w:ascii="Times New Roman" w:hAnsi="Times New Roman" w:cs="Times New Roman"/>
              </w:rPr>
            </w:pPr>
            <w:r w:rsidRPr="00584929">
              <w:rPr>
                <w:rFonts w:ascii="Times New Roman" w:hAnsi="Times New Roman" w:cs="Times New Roman"/>
              </w:rPr>
              <w:t xml:space="preserve">Dodatkowo do art. 15 ust. 2 dodany zostanie pkt stanowiący podstawę umożliwiającą określanie przez muzea, biblioteki oraz archiwa warunków ponownego wykorzystywania ISP  w działalności komercyjnej lub na określonych polach eksploatacji, jeżeli dotyczyć będą one zbiorów o charakterze martyrologicznym oraz zawierają godło, barwy </w:t>
            </w:r>
            <w:r w:rsidRPr="00584929">
              <w:rPr>
                <w:rFonts w:ascii="Times New Roman" w:hAnsi="Times New Roman" w:cs="Times New Roman"/>
              </w:rPr>
              <w:lastRenderedPageBreak/>
              <w:t>i hymn Rzeczypospolitej Polskiej, a także herby, reprodukcje orderów, odznaczeń lub odznak honorowych, odznak lub oznak wojskowych bądź innych odznaczeń.</w:t>
            </w:r>
          </w:p>
        </w:tc>
      </w:tr>
      <w:tr w:rsidR="006D6263" w:rsidRPr="00584929" w14:paraId="696B20F3" w14:textId="77777777" w:rsidTr="00D94ED7">
        <w:tc>
          <w:tcPr>
            <w:tcW w:w="676" w:type="dxa"/>
            <w:shd w:val="clear" w:color="auto" w:fill="auto"/>
          </w:tcPr>
          <w:p w14:paraId="478E81E5"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4119FF0A" w14:textId="7F05AED5" w:rsidR="006D6263" w:rsidRPr="00584929" w:rsidRDefault="00827AA4"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1D59FC1A" w14:textId="123B29AC" w:rsidR="006D6263" w:rsidRPr="00584929" w:rsidRDefault="00827AA4" w:rsidP="004A29FC">
            <w:pPr>
              <w:rPr>
                <w:rFonts w:ascii="Times New Roman" w:hAnsi="Times New Roman" w:cs="Times New Roman"/>
              </w:rPr>
            </w:pPr>
            <w:r w:rsidRPr="00584929">
              <w:rPr>
                <w:rFonts w:ascii="Times New Roman" w:hAnsi="Times New Roman" w:cs="Times New Roman"/>
              </w:rPr>
              <w:t>Art. 15 ust. 2</w:t>
            </w:r>
          </w:p>
        </w:tc>
        <w:tc>
          <w:tcPr>
            <w:tcW w:w="5323" w:type="dxa"/>
            <w:shd w:val="clear" w:color="auto" w:fill="auto"/>
          </w:tcPr>
          <w:p w14:paraId="20292047" w14:textId="66AFCD89" w:rsidR="00827AA4" w:rsidRPr="00584929" w:rsidRDefault="00827AA4" w:rsidP="006A3FAE">
            <w:pPr>
              <w:jc w:val="both"/>
              <w:rPr>
                <w:rFonts w:ascii="Times New Roman" w:hAnsi="Times New Roman" w:cs="Times New Roman"/>
              </w:rPr>
            </w:pPr>
            <w:r w:rsidRPr="00584929">
              <w:rPr>
                <w:rFonts w:ascii="Times New Roman" w:hAnsi="Times New Roman" w:cs="Times New Roman"/>
              </w:rPr>
              <w:t>Art. 15 ust. 2 projektu ustawy – określa dodatkowe warunki jakie mogą zastosować muzea, biblioteki publiczne i naukowe – sformułowanie objętych „roszczeniami osób trzecich” wskazuje, że takie dodatkowe war</w:t>
            </w:r>
            <w:r w:rsidR="00540BD2" w:rsidRPr="00584929">
              <w:rPr>
                <w:rFonts w:ascii="Times New Roman" w:hAnsi="Times New Roman" w:cs="Times New Roman"/>
              </w:rPr>
              <w:t>unki są możliwe do określenia i </w:t>
            </w:r>
            <w:r w:rsidRPr="00584929">
              <w:rPr>
                <w:rFonts w:ascii="Times New Roman" w:hAnsi="Times New Roman" w:cs="Times New Roman"/>
              </w:rPr>
              <w:t>zastosowania jedynie w sytuacji, kiedy chodzi o obiekty, co do których wdano się w spór co do uprawnień do tych obiektów. Zasadnym może być w tej sytuacji zastosowanie konstrukcji „prawa lub roszczeniami osób trzecich”, ponieważ charakter prawa osoby trzeciej do danego przedmiotu nie musi być sporny i niezależnie od tego może powodować konieczność ustanowienia dodatkowych warunków ponownego wykorzystania.</w:t>
            </w:r>
          </w:p>
        </w:tc>
        <w:tc>
          <w:tcPr>
            <w:tcW w:w="4785" w:type="dxa"/>
            <w:shd w:val="clear" w:color="auto" w:fill="auto"/>
          </w:tcPr>
          <w:p w14:paraId="3F38C556" w14:textId="77777777" w:rsidR="006D6263" w:rsidRPr="00584929" w:rsidRDefault="00827AA4" w:rsidP="004A29FC">
            <w:pPr>
              <w:rPr>
                <w:rFonts w:ascii="Times New Roman" w:hAnsi="Times New Roman" w:cs="Times New Roman"/>
                <w:b/>
              </w:rPr>
            </w:pPr>
            <w:r w:rsidRPr="00584929">
              <w:rPr>
                <w:rFonts w:ascii="Times New Roman" w:hAnsi="Times New Roman" w:cs="Times New Roman"/>
                <w:b/>
              </w:rPr>
              <w:t>Uwaga uwzględniona</w:t>
            </w:r>
          </w:p>
          <w:p w14:paraId="64C80B6C" w14:textId="026AF701" w:rsidR="00540BD2" w:rsidRPr="00584929" w:rsidRDefault="00540BD2" w:rsidP="004A29FC">
            <w:pPr>
              <w:rPr>
                <w:rFonts w:ascii="Times New Roman" w:hAnsi="Times New Roman" w:cs="Times New Roman"/>
              </w:rPr>
            </w:pPr>
            <w:r w:rsidRPr="00584929">
              <w:rPr>
                <w:rFonts w:ascii="Times New Roman" w:hAnsi="Times New Roman" w:cs="Times New Roman"/>
              </w:rPr>
              <w:t xml:space="preserve">Przepis </w:t>
            </w:r>
            <w:r w:rsidR="005D4C04" w:rsidRPr="00584929">
              <w:rPr>
                <w:rFonts w:ascii="Times New Roman" w:hAnsi="Times New Roman" w:cs="Times New Roman"/>
              </w:rPr>
              <w:t>z</w:t>
            </w:r>
            <w:r w:rsidRPr="00584929">
              <w:rPr>
                <w:rFonts w:ascii="Times New Roman" w:hAnsi="Times New Roman" w:cs="Times New Roman"/>
              </w:rPr>
              <w:t xml:space="preserve">ostanie zmieniony </w:t>
            </w:r>
          </w:p>
        </w:tc>
      </w:tr>
      <w:tr w:rsidR="000E14FE" w:rsidRPr="00584929" w14:paraId="7FB2A3B0" w14:textId="77777777" w:rsidTr="00D94ED7">
        <w:tc>
          <w:tcPr>
            <w:tcW w:w="676" w:type="dxa"/>
            <w:shd w:val="clear" w:color="auto" w:fill="auto"/>
          </w:tcPr>
          <w:p w14:paraId="4A3B6AF8" w14:textId="77777777" w:rsidR="000E14FE" w:rsidRPr="00584929" w:rsidRDefault="000E14FE" w:rsidP="004A29FC">
            <w:pPr>
              <w:pStyle w:val="Akapitzlist"/>
              <w:numPr>
                <w:ilvl w:val="0"/>
                <w:numId w:val="20"/>
              </w:numPr>
              <w:rPr>
                <w:sz w:val="22"/>
                <w:szCs w:val="22"/>
              </w:rPr>
            </w:pPr>
          </w:p>
        </w:tc>
        <w:tc>
          <w:tcPr>
            <w:tcW w:w="1968" w:type="dxa"/>
            <w:shd w:val="clear" w:color="auto" w:fill="auto"/>
          </w:tcPr>
          <w:p w14:paraId="38DF3265" w14:textId="77777777" w:rsidR="000E14FE" w:rsidRPr="00584929" w:rsidRDefault="000E14FE" w:rsidP="004A29FC">
            <w:pPr>
              <w:rPr>
                <w:rFonts w:ascii="Times New Roman" w:hAnsi="Times New Roman" w:cs="Times New Roman"/>
              </w:rPr>
            </w:pPr>
            <w:r w:rsidRPr="00584929">
              <w:rPr>
                <w:rFonts w:ascii="Times New Roman" w:hAnsi="Times New Roman" w:cs="Times New Roman"/>
              </w:rPr>
              <w:t>Rządowe Centrum Legislacji</w:t>
            </w:r>
          </w:p>
          <w:p w14:paraId="648390DF" w14:textId="4315DD7F" w:rsidR="000E14FE" w:rsidRPr="00584929" w:rsidRDefault="000E14FE" w:rsidP="004A29FC">
            <w:pPr>
              <w:rPr>
                <w:rFonts w:ascii="Times New Roman" w:hAnsi="Times New Roman" w:cs="Times New Roman"/>
              </w:rPr>
            </w:pPr>
          </w:p>
        </w:tc>
        <w:tc>
          <w:tcPr>
            <w:tcW w:w="1526" w:type="dxa"/>
            <w:shd w:val="clear" w:color="auto" w:fill="auto"/>
          </w:tcPr>
          <w:p w14:paraId="2659A09E" w14:textId="694864B9" w:rsidR="000E14FE" w:rsidRPr="00584929" w:rsidRDefault="000E14FE" w:rsidP="004A29FC">
            <w:pPr>
              <w:rPr>
                <w:rFonts w:ascii="Times New Roman" w:hAnsi="Times New Roman" w:cs="Times New Roman"/>
              </w:rPr>
            </w:pPr>
            <w:r w:rsidRPr="00584929">
              <w:rPr>
                <w:rFonts w:ascii="Times New Roman" w:hAnsi="Times New Roman" w:cs="Times New Roman"/>
              </w:rPr>
              <w:t>Tytuł rozdziału 4</w:t>
            </w:r>
          </w:p>
        </w:tc>
        <w:tc>
          <w:tcPr>
            <w:tcW w:w="5323" w:type="dxa"/>
            <w:shd w:val="clear" w:color="auto" w:fill="auto"/>
          </w:tcPr>
          <w:p w14:paraId="57738C90" w14:textId="72F91FFB" w:rsidR="000E14FE" w:rsidRPr="00584929" w:rsidRDefault="000E14FE" w:rsidP="006A3FAE">
            <w:pPr>
              <w:jc w:val="both"/>
              <w:rPr>
                <w:rFonts w:ascii="Times New Roman" w:hAnsi="Times New Roman" w:cs="Times New Roman"/>
              </w:rPr>
            </w:pPr>
            <w:r w:rsidRPr="00584929">
              <w:rPr>
                <w:rFonts w:ascii="Times New Roman" w:hAnsi="Times New Roman" w:cs="Times New Roman"/>
              </w:rPr>
              <w:t>Tytuł rozdziału 4 wymaga uzupełnienia, gdyż powinien odnosić się zgodnie z brzmienie art. 1 projektu ustawy do zasad ustalania opłat za ponowny wykorzystywanie, ponownej analizy wymaga również czy przepisy tego rozdziału nie powinny również regulować trybu wnoszenia tych opłat.</w:t>
            </w:r>
          </w:p>
        </w:tc>
        <w:tc>
          <w:tcPr>
            <w:tcW w:w="4785" w:type="dxa"/>
            <w:shd w:val="clear" w:color="auto" w:fill="auto"/>
          </w:tcPr>
          <w:p w14:paraId="4366F4E0" w14:textId="77777777" w:rsidR="000E14FE" w:rsidRPr="00584929" w:rsidRDefault="000E14FE" w:rsidP="004A29FC">
            <w:pPr>
              <w:rPr>
                <w:rFonts w:ascii="Times New Roman" w:hAnsi="Times New Roman" w:cs="Times New Roman"/>
                <w:b/>
              </w:rPr>
            </w:pPr>
            <w:r w:rsidRPr="00584929">
              <w:rPr>
                <w:rFonts w:ascii="Times New Roman" w:hAnsi="Times New Roman" w:cs="Times New Roman"/>
                <w:b/>
              </w:rPr>
              <w:t>Uwaga uwzględniona</w:t>
            </w:r>
          </w:p>
          <w:p w14:paraId="016CE45A" w14:textId="77777777" w:rsidR="00540BD2" w:rsidRPr="00584929" w:rsidRDefault="00540BD2" w:rsidP="004A29FC">
            <w:pPr>
              <w:rPr>
                <w:rFonts w:ascii="Times New Roman" w:hAnsi="Times New Roman" w:cs="Times New Roman"/>
              </w:rPr>
            </w:pPr>
            <w:r w:rsidRPr="00584929">
              <w:rPr>
                <w:rFonts w:ascii="Times New Roman" w:hAnsi="Times New Roman" w:cs="Times New Roman"/>
              </w:rPr>
              <w:t>Tytuł rozdziału zostanie zmieniony</w:t>
            </w:r>
          </w:p>
          <w:p w14:paraId="49811388" w14:textId="77777777" w:rsidR="00540BD2" w:rsidRPr="00584929" w:rsidRDefault="00540BD2" w:rsidP="004A29FC">
            <w:pPr>
              <w:rPr>
                <w:rFonts w:ascii="Times New Roman" w:hAnsi="Times New Roman" w:cs="Times New Roman"/>
              </w:rPr>
            </w:pPr>
          </w:p>
          <w:p w14:paraId="203BE685" w14:textId="31128F92" w:rsidR="00540BD2" w:rsidRPr="00584929" w:rsidRDefault="00541699" w:rsidP="00540BD2">
            <w:pPr>
              <w:jc w:val="both"/>
              <w:rPr>
                <w:rFonts w:ascii="Times New Roman" w:hAnsi="Times New Roman" w:cs="Times New Roman"/>
              </w:rPr>
            </w:pPr>
            <w:r w:rsidRPr="00584929">
              <w:rPr>
                <w:rFonts w:ascii="Times New Roman" w:hAnsi="Times New Roman" w:cs="Times New Roman"/>
              </w:rPr>
              <w:t>Dodatkowe w</w:t>
            </w:r>
            <w:r w:rsidR="00540BD2" w:rsidRPr="00584929">
              <w:rPr>
                <w:rFonts w:ascii="Times New Roman" w:hAnsi="Times New Roman" w:cs="Times New Roman"/>
              </w:rPr>
              <w:t>yjaśnienie dot. rozważenia uregulowania trybu wnoszenia opłat.</w:t>
            </w:r>
          </w:p>
          <w:p w14:paraId="06E44EE0" w14:textId="11695695" w:rsidR="00540BD2" w:rsidRPr="00584929" w:rsidRDefault="00540BD2" w:rsidP="001D0918">
            <w:pPr>
              <w:jc w:val="both"/>
              <w:rPr>
                <w:rFonts w:ascii="Times New Roman" w:hAnsi="Times New Roman" w:cs="Times New Roman"/>
              </w:rPr>
            </w:pPr>
            <w:r w:rsidRPr="00584929">
              <w:rPr>
                <w:rFonts w:ascii="Times New Roman" w:hAnsi="Times New Roman" w:cs="Times New Roman"/>
              </w:rPr>
              <w:t xml:space="preserve">Projektodawca nie </w:t>
            </w:r>
            <w:r w:rsidR="001D0918" w:rsidRPr="00584929">
              <w:rPr>
                <w:rFonts w:ascii="Times New Roman" w:hAnsi="Times New Roman" w:cs="Times New Roman"/>
              </w:rPr>
              <w:t>zauważa</w:t>
            </w:r>
            <w:r w:rsidRPr="00584929">
              <w:rPr>
                <w:rFonts w:ascii="Times New Roman" w:hAnsi="Times New Roman" w:cs="Times New Roman"/>
              </w:rPr>
              <w:t xml:space="preserve"> konieczność wprowadzenia dodatkowej regulacji dot. trybu wnoszenia opłat za ponowne wykorzystywanie. Projektowane przepis w zasadniczej części są tożsame z obecnie obowiązującymi regulacjami ustawy z 2016 r. i nie budziły jak dotąd istotn</w:t>
            </w:r>
            <w:r w:rsidR="001D0918" w:rsidRPr="00584929">
              <w:rPr>
                <w:rFonts w:ascii="Times New Roman" w:hAnsi="Times New Roman" w:cs="Times New Roman"/>
              </w:rPr>
              <w:t>ych</w:t>
            </w:r>
            <w:r w:rsidRPr="00584929">
              <w:rPr>
                <w:rFonts w:ascii="Times New Roman" w:hAnsi="Times New Roman" w:cs="Times New Roman"/>
              </w:rPr>
              <w:t xml:space="preserve"> wątpliwości w zakresie dot. trybu wnoszenia opłat.  </w:t>
            </w:r>
          </w:p>
        </w:tc>
      </w:tr>
      <w:tr w:rsidR="006D6263" w:rsidRPr="00584929" w14:paraId="09E01653" w14:textId="77777777" w:rsidTr="00D94ED7">
        <w:tc>
          <w:tcPr>
            <w:tcW w:w="676" w:type="dxa"/>
            <w:shd w:val="clear" w:color="auto" w:fill="auto"/>
          </w:tcPr>
          <w:p w14:paraId="629E7561" w14:textId="05E33D6A" w:rsidR="006D6263" w:rsidRPr="00584929" w:rsidRDefault="006D6263" w:rsidP="004A29FC">
            <w:pPr>
              <w:pStyle w:val="Akapitzlist"/>
              <w:numPr>
                <w:ilvl w:val="0"/>
                <w:numId w:val="20"/>
              </w:numPr>
              <w:rPr>
                <w:sz w:val="22"/>
                <w:szCs w:val="22"/>
              </w:rPr>
            </w:pPr>
          </w:p>
        </w:tc>
        <w:tc>
          <w:tcPr>
            <w:tcW w:w="1968" w:type="dxa"/>
            <w:shd w:val="clear" w:color="auto" w:fill="auto"/>
          </w:tcPr>
          <w:p w14:paraId="2EFFD2CA" w14:textId="77777777" w:rsidR="006D6263" w:rsidRPr="00584929" w:rsidRDefault="00827AA4" w:rsidP="004A29FC">
            <w:pPr>
              <w:rPr>
                <w:rFonts w:ascii="Times New Roman" w:hAnsi="Times New Roman" w:cs="Times New Roman"/>
              </w:rPr>
            </w:pPr>
            <w:r w:rsidRPr="00584929">
              <w:rPr>
                <w:rFonts w:ascii="Times New Roman" w:hAnsi="Times New Roman" w:cs="Times New Roman"/>
              </w:rPr>
              <w:t>Ministerstwo Gospodarki Morskiej i Żeglugi Śródlądowej</w:t>
            </w:r>
          </w:p>
          <w:p w14:paraId="7409F66F" w14:textId="67106873" w:rsidR="00827AA4" w:rsidRPr="00584929" w:rsidRDefault="00827AA4" w:rsidP="004A29FC">
            <w:pPr>
              <w:rPr>
                <w:rFonts w:ascii="Times New Roman" w:hAnsi="Times New Roman" w:cs="Times New Roman"/>
              </w:rPr>
            </w:pPr>
          </w:p>
        </w:tc>
        <w:tc>
          <w:tcPr>
            <w:tcW w:w="1526" w:type="dxa"/>
            <w:shd w:val="clear" w:color="auto" w:fill="auto"/>
          </w:tcPr>
          <w:p w14:paraId="3D3FE541" w14:textId="36F9FA30" w:rsidR="006D6263" w:rsidRPr="00584929" w:rsidRDefault="00827AA4" w:rsidP="004A29FC">
            <w:pPr>
              <w:rPr>
                <w:rFonts w:ascii="Times New Roman" w:hAnsi="Times New Roman" w:cs="Times New Roman"/>
              </w:rPr>
            </w:pPr>
            <w:r w:rsidRPr="00584929">
              <w:rPr>
                <w:rFonts w:ascii="Times New Roman" w:hAnsi="Times New Roman" w:cs="Times New Roman"/>
              </w:rPr>
              <w:t>Art. 18 ust. 1</w:t>
            </w:r>
          </w:p>
        </w:tc>
        <w:tc>
          <w:tcPr>
            <w:tcW w:w="5323" w:type="dxa"/>
            <w:shd w:val="clear" w:color="auto" w:fill="auto"/>
          </w:tcPr>
          <w:p w14:paraId="574ABBDD" w14:textId="078F0938" w:rsidR="00827AA4" w:rsidRPr="00584929" w:rsidRDefault="00827AA4" w:rsidP="006A3FAE">
            <w:pPr>
              <w:jc w:val="both"/>
              <w:rPr>
                <w:rFonts w:ascii="Times New Roman" w:hAnsi="Times New Roman" w:cs="Times New Roman"/>
              </w:rPr>
            </w:pPr>
            <w:r w:rsidRPr="00584929">
              <w:rPr>
                <w:rFonts w:ascii="Times New Roman" w:hAnsi="Times New Roman" w:cs="Times New Roman"/>
              </w:rPr>
              <w:t xml:space="preserve">W art. 18 ust. 1 projektu ustawy wskazano, że podmiot zobowiązany może nałożyć opłatę za ponowne wykorzystanie, jeżeli przygotowanie lub przekazanie informacji w sposób lub w formie wskazanych we wniosku o ponowne wykorzystanie wymaga poniesienia dodatkowych kosztów. Należy wskazać, że przedmiotowy </w:t>
            </w:r>
            <w:r w:rsidRPr="00584929">
              <w:rPr>
                <w:rFonts w:ascii="Times New Roman" w:hAnsi="Times New Roman" w:cs="Times New Roman"/>
              </w:rPr>
              <w:lastRenderedPageBreak/>
              <w:t>p</w:t>
            </w:r>
            <w:r w:rsidR="006A3FAE" w:rsidRPr="00584929">
              <w:rPr>
                <w:rFonts w:ascii="Times New Roman" w:hAnsi="Times New Roman" w:cs="Times New Roman"/>
              </w:rPr>
              <w:t>rzepis jest przeniesiony z art. </w:t>
            </w:r>
            <w:r w:rsidRPr="00584929">
              <w:rPr>
                <w:rFonts w:ascii="Times New Roman" w:hAnsi="Times New Roman" w:cs="Times New Roman"/>
              </w:rPr>
              <w:t>17 ustawy z dnia 25 lutego 2016 r. o ponownym wykorzystywaniu informacji sektora publicznego (Dz. U. poz. 352), zastępowanej przez projekt ustawy. Z uwagi na fakt, że obecny, identyczny przepis budzi wątpliwości interpretacyjne przy udostępnianiu informacji z uwagi na problemy z wyjaśnieniem zwrotu „dodatkowych kosztów”, powinno się doprecyzować przedmiotowe określenie w projekcie ustawy.</w:t>
            </w:r>
          </w:p>
        </w:tc>
        <w:tc>
          <w:tcPr>
            <w:tcW w:w="4785" w:type="dxa"/>
            <w:shd w:val="clear" w:color="auto" w:fill="auto"/>
          </w:tcPr>
          <w:p w14:paraId="15527E0E" w14:textId="77777777" w:rsidR="006D6263" w:rsidRPr="00584929" w:rsidRDefault="00827AA4" w:rsidP="004A29FC">
            <w:pPr>
              <w:rPr>
                <w:rFonts w:ascii="Times New Roman" w:hAnsi="Times New Roman" w:cs="Times New Roman"/>
                <w:b/>
              </w:rPr>
            </w:pPr>
            <w:r w:rsidRPr="00584929">
              <w:rPr>
                <w:rFonts w:ascii="Times New Roman" w:hAnsi="Times New Roman" w:cs="Times New Roman"/>
                <w:b/>
              </w:rPr>
              <w:lastRenderedPageBreak/>
              <w:t>Uwaga nieuwzględniona</w:t>
            </w:r>
          </w:p>
          <w:p w14:paraId="47399FA2" w14:textId="7ADA33E0" w:rsidR="007238F8" w:rsidRPr="00584929" w:rsidRDefault="007238F8" w:rsidP="007238F8">
            <w:pPr>
              <w:jc w:val="both"/>
              <w:rPr>
                <w:rFonts w:ascii="Times New Roman" w:hAnsi="Times New Roman" w:cs="Times New Roman"/>
              </w:rPr>
            </w:pPr>
            <w:r w:rsidRPr="00584929">
              <w:rPr>
                <w:rFonts w:ascii="Times New Roman" w:hAnsi="Times New Roman" w:cs="Times New Roman"/>
              </w:rPr>
              <w:t xml:space="preserve">Opłata, o której mowa w art. 18 ust. 1 </w:t>
            </w:r>
            <w:r w:rsidR="00CA0BBD" w:rsidRPr="00584929">
              <w:rPr>
                <w:rFonts w:ascii="Times New Roman" w:hAnsi="Times New Roman" w:cs="Times New Roman"/>
              </w:rPr>
              <w:t xml:space="preserve">projektu ustawy </w:t>
            </w:r>
            <w:r w:rsidRPr="00584929">
              <w:rPr>
                <w:rFonts w:ascii="Times New Roman" w:hAnsi="Times New Roman" w:cs="Times New Roman"/>
              </w:rPr>
              <w:t xml:space="preserve">stanowi ekwiwalent kosztów poniesionych przez </w:t>
            </w:r>
            <w:r w:rsidR="00CA0BBD" w:rsidRPr="00584929">
              <w:rPr>
                <w:rFonts w:ascii="Times New Roman" w:hAnsi="Times New Roman" w:cs="Times New Roman"/>
              </w:rPr>
              <w:t>podmiot zobowiązany w związku z </w:t>
            </w:r>
            <w:r w:rsidRPr="00584929">
              <w:rPr>
                <w:rFonts w:ascii="Times New Roman" w:hAnsi="Times New Roman" w:cs="Times New Roman"/>
              </w:rPr>
              <w:t>przygotowaniem lub przekazaniem informacji sektora publiczne</w:t>
            </w:r>
            <w:r w:rsidR="00CA0BBD" w:rsidRPr="00584929">
              <w:rPr>
                <w:rFonts w:ascii="Times New Roman" w:hAnsi="Times New Roman" w:cs="Times New Roman"/>
              </w:rPr>
              <w:t>go w </w:t>
            </w:r>
            <w:r w:rsidRPr="00584929">
              <w:rPr>
                <w:rFonts w:ascii="Times New Roman" w:hAnsi="Times New Roman" w:cs="Times New Roman"/>
              </w:rPr>
              <w:t xml:space="preserve">sposób zgodny z żądaniem </w:t>
            </w:r>
            <w:r w:rsidRPr="00584929">
              <w:rPr>
                <w:rFonts w:ascii="Times New Roman" w:hAnsi="Times New Roman" w:cs="Times New Roman"/>
              </w:rPr>
              <w:lastRenderedPageBreak/>
              <w:t>wnioskodawcy, pr</w:t>
            </w:r>
            <w:r w:rsidR="00CA0BBD" w:rsidRPr="00584929">
              <w:rPr>
                <w:rFonts w:ascii="Times New Roman" w:hAnsi="Times New Roman" w:cs="Times New Roman"/>
              </w:rPr>
              <w:t>zy czym opłata, o której mowa w </w:t>
            </w:r>
            <w:r w:rsidRPr="00584929">
              <w:rPr>
                <w:rFonts w:ascii="Times New Roman" w:hAnsi="Times New Roman" w:cs="Times New Roman"/>
              </w:rPr>
              <w:t xml:space="preserve">art. 18 nie może być rozumiana jako opłata za czynności dokonywane ramach zwykłej działalności podmiotu zobowiązanego. </w:t>
            </w:r>
          </w:p>
          <w:p w14:paraId="11F0AFE2" w14:textId="633D253E" w:rsidR="007238F8" w:rsidRPr="00584929" w:rsidRDefault="007238F8" w:rsidP="00CA0BBD">
            <w:pPr>
              <w:jc w:val="both"/>
              <w:rPr>
                <w:rFonts w:ascii="Times New Roman" w:hAnsi="Times New Roman" w:cs="Times New Roman"/>
              </w:rPr>
            </w:pPr>
            <w:r w:rsidRPr="00584929">
              <w:rPr>
                <w:rFonts w:ascii="Times New Roman" w:hAnsi="Times New Roman" w:cs="Times New Roman"/>
              </w:rPr>
              <w:t xml:space="preserve">W dotychczas obowiązujących przepisach </w:t>
            </w:r>
            <w:r w:rsidR="00CA0BBD" w:rsidRPr="00584929">
              <w:rPr>
                <w:rFonts w:ascii="Times New Roman" w:hAnsi="Times New Roman" w:cs="Times New Roman"/>
              </w:rPr>
              <w:t xml:space="preserve">(ustawa z 2016 r.) </w:t>
            </w:r>
            <w:r w:rsidRPr="00584929">
              <w:rPr>
                <w:rFonts w:ascii="Times New Roman" w:hAnsi="Times New Roman" w:cs="Times New Roman"/>
              </w:rPr>
              <w:t>oraz projektowej regulacji celowo nie wskazano wprost o jakie cz</w:t>
            </w:r>
            <w:r w:rsidR="00CA0BBD" w:rsidRPr="00584929">
              <w:rPr>
                <w:rFonts w:ascii="Times New Roman" w:hAnsi="Times New Roman" w:cs="Times New Roman"/>
              </w:rPr>
              <w:t>ynniki chodzi, bowiem decyzja o </w:t>
            </w:r>
            <w:r w:rsidRPr="00584929">
              <w:rPr>
                <w:rFonts w:ascii="Times New Roman" w:hAnsi="Times New Roman" w:cs="Times New Roman"/>
              </w:rPr>
              <w:t xml:space="preserve">nałożeniu opłaty powinna być rozpatrywana indywidulanie w przypadku każdego wniosku. </w:t>
            </w:r>
          </w:p>
          <w:p w14:paraId="59981A9C" w14:textId="77777777" w:rsidR="007238F8" w:rsidRPr="00584929" w:rsidRDefault="007238F8" w:rsidP="007238F8">
            <w:pPr>
              <w:jc w:val="both"/>
              <w:rPr>
                <w:rFonts w:ascii="Times New Roman" w:hAnsi="Times New Roman" w:cs="Times New Roman"/>
              </w:rPr>
            </w:pPr>
            <w:r w:rsidRPr="00584929">
              <w:rPr>
                <w:rFonts w:ascii="Times New Roman" w:hAnsi="Times New Roman" w:cs="Times New Roman"/>
              </w:rPr>
              <w:t>W art. 18 ust. 2 wskazano przesłanki ustalenia wysokości opłaty:</w:t>
            </w:r>
          </w:p>
          <w:p w14:paraId="3B41C4A3" w14:textId="66278085" w:rsidR="007238F8" w:rsidRPr="00584929" w:rsidRDefault="007238F8" w:rsidP="00A07FD4">
            <w:pPr>
              <w:numPr>
                <w:ilvl w:val="0"/>
                <w:numId w:val="36"/>
              </w:numPr>
              <w:ind w:left="317"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koszty przygotowania lub p</w:t>
            </w:r>
            <w:r w:rsidR="00CA0BBD" w:rsidRPr="00584929">
              <w:rPr>
                <w:rFonts w:ascii="Times New Roman" w:eastAsia="Calibri" w:hAnsi="Times New Roman" w:cs="Times New Roman"/>
                <w:lang w:eastAsia="pl-PL"/>
              </w:rPr>
              <w:t>rzekazania ISP w </w:t>
            </w:r>
            <w:r w:rsidRPr="00584929">
              <w:rPr>
                <w:rFonts w:ascii="Times New Roman" w:eastAsia="Calibri" w:hAnsi="Times New Roman" w:cs="Times New Roman"/>
                <w:lang w:eastAsia="pl-PL"/>
              </w:rPr>
              <w:t xml:space="preserve">określony sposób i w określonej formie </w:t>
            </w:r>
          </w:p>
          <w:p w14:paraId="520FE786" w14:textId="147A6382" w:rsidR="007238F8" w:rsidRPr="00584929" w:rsidRDefault="007238F8" w:rsidP="00A07FD4">
            <w:pPr>
              <w:numPr>
                <w:ilvl w:val="0"/>
                <w:numId w:val="36"/>
              </w:numPr>
              <w:ind w:left="317"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inne czynniki, które będą brane pod uwagę przy rozpatrywaniu wniosków, które mogą mieć wpływ na koszt lub czas  przygotowania lub przekazania ISP</w:t>
            </w:r>
          </w:p>
          <w:p w14:paraId="5D89BF76" w14:textId="57846109" w:rsidR="007238F8" w:rsidRPr="00584929" w:rsidRDefault="007238F8" w:rsidP="007238F8">
            <w:pPr>
              <w:jc w:val="both"/>
              <w:rPr>
                <w:rFonts w:ascii="Times New Roman" w:hAnsi="Times New Roman" w:cs="Times New Roman"/>
              </w:rPr>
            </w:pPr>
            <w:r w:rsidRPr="00584929">
              <w:rPr>
                <w:rFonts w:ascii="Times New Roman" w:hAnsi="Times New Roman" w:cs="Times New Roman"/>
              </w:rPr>
              <w:t xml:space="preserve">Dodatkowymi kosztami mogą być np. </w:t>
            </w:r>
            <w:r w:rsidR="00CA0BBD" w:rsidRPr="00584929">
              <w:rPr>
                <w:rFonts w:ascii="Times New Roman" w:hAnsi="Times New Roman" w:cs="Times New Roman"/>
              </w:rPr>
              <w:t xml:space="preserve">koszty </w:t>
            </w:r>
            <w:r w:rsidRPr="00584929">
              <w:rPr>
                <w:rFonts w:ascii="Times New Roman" w:hAnsi="Times New Roman" w:cs="Times New Roman"/>
              </w:rPr>
              <w:t>nośnika, na którym mają zostać udostępnione dane, koszty tłumaczenia na język obcy czy koszty skorzystania z</w:t>
            </w:r>
            <w:r w:rsidR="00CA0BBD" w:rsidRPr="00584929">
              <w:rPr>
                <w:rFonts w:ascii="Times New Roman" w:hAnsi="Times New Roman" w:cs="Times New Roman"/>
              </w:rPr>
              <w:t xml:space="preserve"> usługi zewnętrznego podmiotu w </w:t>
            </w:r>
            <w:r w:rsidRPr="00584929">
              <w:rPr>
                <w:rFonts w:ascii="Times New Roman" w:hAnsi="Times New Roman" w:cs="Times New Roman"/>
              </w:rPr>
              <w:t xml:space="preserve">celu utrwalania informacji w sposób wskazany we wniosku (np. druk wielkoformatowy). </w:t>
            </w:r>
          </w:p>
          <w:p w14:paraId="6915F189" w14:textId="48EDB4E2" w:rsidR="007238F8" w:rsidRPr="00584929" w:rsidRDefault="007238F8" w:rsidP="00CA0BBD">
            <w:pPr>
              <w:spacing w:after="160"/>
              <w:jc w:val="both"/>
              <w:rPr>
                <w:rFonts w:ascii="Times New Roman" w:hAnsi="Times New Roman" w:cs="Times New Roman"/>
              </w:rPr>
            </w:pPr>
            <w:r w:rsidRPr="00584929">
              <w:rPr>
                <w:rFonts w:ascii="Times New Roman" w:hAnsi="Times New Roman" w:cs="Times New Roman"/>
              </w:rPr>
              <w:t>Tożsamym pojęciem „dodatkowych kosztów” posłużono się w przepisach dot. rozpatrywania wniosków w o dostęp</w:t>
            </w:r>
            <w:r w:rsidR="00CA0BBD" w:rsidRPr="00584929">
              <w:rPr>
                <w:rFonts w:ascii="Times New Roman" w:hAnsi="Times New Roman" w:cs="Times New Roman"/>
              </w:rPr>
              <w:t xml:space="preserve"> do informacji publicznej (art. </w:t>
            </w:r>
            <w:r w:rsidRPr="00584929">
              <w:rPr>
                <w:rFonts w:ascii="Times New Roman" w:hAnsi="Times New Roman" w:cs="Times New Roman"/>
              </w:rPr>
              <w:t xml:space="preserve">15 </w:t>
            </w:r>
            <w:r w:rsidR="00CA0BBD" w:rsidRPr="00584929">
              <w:rPr>
                <w:rFonts w:ascii="Times New Roman" w:hAnsi="Times New Roman" w:cs="Times New Roman"/>
              </w:rPr>
              <w:t>ustawy o dostępie do informacji sektora publicznego</w:t>
            </w:r>
            <w:r w:rsidRPr="00584929">
              <w:rPr>
                <w:rFonts w:ascii="Times New Roman" w:hAnsi="Times New Roman" w:cs="Times New Roman"/>
              </w:rPr>
              <w:t xml:space="preserve">). W związku z powyższym za zasadne należy przyjąć sięgnięcie na zasadzie analogii do orzecznictwa sądowego ukształtowanego na gruncie tej ustawy. Kosztem dodatkowym będzie w tej sytuacji wydatek rzeczywiście poniesiony ponad zwykły koszt funkcjonowania, związany z realizacją wskazanego we wniosku sposobu udostępniania lub </w:t>
            </w:r>
            <w:r w:rsidRPr="00584929">
              <w:rPr>
                <w:rFonts w:ascii="Times New Roman" w:hAnsi="Times New Roman" w:cs="Times New Roman"/>
              </w:rPr>
              <w:lastRenderedPageBreak/>
              <w:t>koniecznością przekształcenia informacji. Musi to być koszt wykraczający poza normalne koszty funkcjonowania podmiotu zobowiązanego (wyrok WSA w Łodzi z 20.01.2016 r., sygn. akt II SA/Łd 978/15, wyrok WSA w Łodzi z dnia 20.05.020 r., sygn. a</w:t>
            </w:r>
            <w:r w:rsidR="00A53426" w:rsidRPr="00584929">
              <w:rPr>
                <w:rFonts w:ascii="Times New Roman" w:hAnsi="Times New Roman" w:cs="Times New Roman"/>
              </w:rPr>
              <w:t>ky II SA/Łd 23/20). W związku z </w:t>
            </w:r>
            <w:r w:rsidRPr="00584929">
              <w:rPr>
                <w:rFonts w:ascii="Times New Roman" w:hAnsi="Times New Roman" w:cs="Times New Roman"/>
              </w:rPr>
              <w:t>powyższym koszty dodatkowe to takie koszty, których podmiot zobowiązany nie poniósłby gdyby nie treść wniosku.</w:t>
            </w:r>
          </w:p>
        </w:tc>
      </w:tr>
      <w:tr w:rsidR="005F4BA9" w:rsidRPr="00584929" w14:paraId="2AA540E4" w14:textId="77777777" w:rsidTr="00D94ED7">
        <w:tc>
          <w:tcPr>
            <w:tcW w:w="676" w:type="dxa"/>
            <w:shd w:val="clear" w:color="auto" w:fill="auto"/>
          </w:tcPr>
          <w:p w14:paraId="6DD5B60E" w14:textId="77777777" w:rsidR="005F4BA9" w:rsidRPr="00584929" w:rsidRDefault="005F4BA9" w:rsidP="004A29FC">
            <w:pPr>
              <w:pStyle w:val="Akapitzlist"/>
              <w:numPr>
                <w:ilvl w:val="0"/>
                <w:numId w:val="20"/>
              </w:numPr>
              <w:rPr>
                <w:sz w:val="22"/>
                <w:szCs w:val="22"/>
              </w:rPr>
            </w:pPr>
          </w:p>
        </w:tc>
        <w:tc>
          <w:tcPr>
            <w:tcW w:w="1968" w:type="dxa"/>
            <w:shd w:val="clear" w:color="auto" w:fill="auto"/>
          </w:tcPr>
          <w:p w14:paraId="3AB63544" w14:textId="2C5EC9D9" w:rsidR="005F4BA9" w:rsidRPr="00584929" w:rsidRDefault="005F4BA9"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7B26470B" w14:textId="4705B683" w:rsidR="005F4BA9" w:rsidRPr="00584929" w:rsidRDefault="00AD0B46" w:rsidP="004A29FC">
            <w:pPr>
              <w:rPr>
                <w:rFonts w:ascii="Times New Roman" w:hAnsi="Times New Roman" w:cs="Times New Roman"/>
              </w:rPr>
            </w:pPr>
            <w:r w:rsidRPr="00584929">
              <w:rPr>
                <w:rFonts w:ascii="Times New Roman" w:hAnsi="Times New Roman" w:cs="Times New Roman"/>
              </w:rPr>
              <w:t>Art.</w:t>
            </w:r>
            <w:r w:rsidR="004D7D01" w:rsidRPr="00584929">
              <w:rPr>
                <w:rFonts w:ascii="Times New Roman" w:hAnsi="Times New Roman" w:cs="Times New Roman"/>
              </w:rPr>
              <w:t xml:space="preserve"> </w:t>
            </w:r>
            <w:r w:rsidRPr="00584929">
              <w:rPr>
                <w:rFonts w:ascii="Times New Roman" w:hAnsi="Times New Roman" w:cs="Times New Roman"/>
              </w:rPr>
              <w:t>18 ust. 2</w:t>
            </w:r>
          </w:p>
        </w:tc>
        <w:tc>
          <w:tcPr>
            <w:tcW w:w="5323" w:type="dxa"/>
            <w:shd w:val="clear" w:color="auto" w:fill="auto"/>
          </w:tcPr>
          <w:p w14:paraId="06806CEE" w14:textId="14E1CBC5" w:rsidR="005F4BA9" w:rsidRPr="00584929" w:rsidRDefault="005F4BA9" w:rsidP="006A3FAE">
            <w:pPr>
              <w:jc w:val="both"/>
              <w:rPr>
                <w:rFonts w:ascii="Times New Roman" w:hAnsi="Times New Roman" w:cs="Times New Roman"/>
              </w:rPr>
            </w:pPr>
            <w:r w:rsidRPr="00584929">
              <w:rPr>
                <w:rFonts w:ascii="Times New Roman" w:hAnsi="Times New Roman" w:cs="Times New Roman"/>
              </w:rPr>
              <w:t>Pod rozwagę należy poddać również wprowadzenie zmian legislacyjnych w art. 18 us</w:t>
            </w:r>
            <w:r w:rsidR="00847D4B" w:rsidRPr="00584929">
              <w:rPr>
                <w:rFonts w:ascii="Times New Roman" w:hAnsi="Times New Roman" w:cs="Times New Roman"/>
              </w:rPr>
              <w:t>t. 2 projektu ustawy. Zgodnie z </w:t>
            </w:r>
            <w:r w:rsidRPr="00584929">
              <w:rPr>
                <w:rFonts w:ascii="Times New Roman" w:hAnsi="Times New Roman" w:cs="Times New Roman"/>
              </w:rPr>
              <w:t>ww. przepisem ustalając w</w:t>
            </w:r>
            <w:r w:rsidR="006A3FAE" w:rsidRPr="00584929">
              <w:rPr>
                <w:rFonts w:ascii="Times New Roman" w:hAnsi="Times New Roman" w:cs="Times New Roman"/>
              </w:rPr>
              <w:t>ysokość opłaty, o której mowa w </w:t>
            </w:r>
            <w:r w:rsidRPr="00584929">
              <w:rPr>
                <w:rFonts w:ascii="Times New Roman" w:hAnsi="Times New Roman" w:cs="Times New Roman"/>
              </w:rPr>
              <w:t>ust. 1, uwzględnia się koszty przygotowania lub przekazania informacji sektora publicznego w określony sposób i w określonej formie oraz inne czynniki, które będą brane pod uwagę przy rozpatrywaniu nietypowych wniosków o ponowne wykorzystywanie, które mogą mieć wpływ w szczególności na koszt lub czas przygotowania lub przekazania informacji. Łączna wysokość opłaty nie może przekroczyć sumy kosztów poniesionych bezpośrednio w celu przygotowania lub przekazania informacji sektora publicznego w c</w:t>
            </w:r>
            <w:r w:rsidR="006A3FAE" w:rsidRPr="00584929">
              <w:rPr>
                <w:rFonts w:ascii="Times New Roman" w:hAnsi="Times New Roman" w:cs="Times New Roman"/>
              </w:rPr>
              <w:t>elu ponownego wykorzystywania w </w:t>
            </w:r>
            <w:r w:rsidRPr="00584929">
              <w:rPr>
                <w:rFonts w:ascii="Times New Roman" w:hAnsi="Times New Roman" w:cs="Times New Roman"/>
              </w:rPr>
              <w:t>określony sposób i w określonej formie. Wskazać należy, iż w treści powyższego przepisu odwołano się do niejasnego i potocznego okr</w:t>
            </w:r>
            <w:r w:rsidR="006A3FAE" w:rsidRPr="00584929">
              <w:rPr>
                <w:rFonts w:ascii="Times New Roman" w:hAnsi="Times New Roman" w:cs="Times New Roman"/>
              </w:rPr>
              <w:t>eślenia „nietypowych wniosków o </w:t>
            </w:r>
            <w:r w:rsidRPr="00584929">
              <w:rPr>
                <w:rFonts w:ascii="Times New Roman" w:hAnsi="Times New Roman" w:cs="Times New Roman"/>
              </w:rPr>
              <w:t>ponowne wykorzystanie”. Bardziej uzasadnione byłoby powiązanie ustalenia wysokości opłaty od wniosku jedynie od dodatkowych kosztów poniesionych przez organ, związanych ze wskazanym we wniosku sposobem udostępnienia lub koniecznością przekształcenia informac</w:t>
            </w:r>
            <w:r w:rsidR="003E6210" w:rsidRPr="00584929">
              <w:rPr>
                <w:rFonts w:ascii="Times New Roman" w:hAnsi="Times New Roman" w:cs="Times New Roman"/>
              </w:rPr>
              <w:t>ji w formę wskazaną we wniosku.</w:t>
            </w:r>
          </w:p>
        </w:tc>
        <w:tc>
          <w:tcPr>
            <w:tcW w:w="4785" w:type="dxa"/>
            <w:shd w:val="clear" w:color="auto" w:fill="auto"/>
          </w:tcPr>
          <w:p w14:paraId="76624083" w14:textId="77777777" w:rsidR="005F4BA9" w:rsidRPr="00584929" w:rsidRDefault="005F4BA9" w:rsidP="004A29FC">
            <w:pPr>
              <w:rPr>
                <w:rFonts w:ascii="Times New Roman" w:hAnsi="Times New Roman" w:cs="Times New Roman"/>
                <w:b/>
              </w:rPr>
            </w:pPr>
            <w:r w:rsidRPr="00584929">
              <w:rPr>
                <w:rFonts w:ascii="Times New Roman" w:hAnsi="Times New Roman" w:cs="Times New Roman"/>
                <w:b/>
              </w:rPr>
              <w:t>Uwaga uwzględniona</w:t>
            </w:r>
          </w:p>
          <w:p w14:paraId="07DFAAB9" w14:textId="7F03C5CA" w:rsidR="00847D4B" w:rsidRPr="00584929" w:rsidRDefault="00847D4B" w:rsidP="004A29FC">
            <w:pPr>
              <w:rPr>
                <w:rFonts w:ascii="Times New Roman" w:hAnsi="Times New Roman" w:cs="Times New Roman"/>
              </w:rPr>
            </w:pPr>
            <w:r w:rsidRPr="00584929">
              <w:rPr>
                <w:rFonts w:ascii="Times New Roman" w:hAnsi="Times New Roman" w:cs="Times New Roman"/>
              </w:rPr>
              <w:t>Przepis zostanie zmieniony.</w:t>
            </w:r>
          </w:p>
        </w:tc>
      </w:tr>
      <w:tr w:rsidR="006D6263" w:rsidRPr="00584929" w14:paraId="54BCB7A1" w14:textId="77777777" w:rsidTr="00D94ED7">
        <w:tc>
          <w:tcPr>
            <w:tcW w:w="676" w:type="dxa"/>
            <w:shd w:val="clear" w:color="auto" w:fill="auto"/>
          </w:tcPr>
          <w:p w14:paraId="2FDE378C"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7B05BCD0" w14:textId="7FDB7164" w:rsidR="006D6263" w:rsidRPr="00584929" w:rsidRDefault="00827AA4" w:rsidP="004A29FC">
            <w:pPr>
              <w:rPr>
                <w:rFonts w:ascii="Times New Roman" w:hAnsi="Times New Roman" w:cs="Times New Roman"/>
              </w:rPr>
            </w:pPr>
            <w:r w:rsidRPr="00584929">
              <w:rPr>
                <w:rFonts w:ascii="Times New Roman" w:hAnsi="Times New Roman" w:cs="Times New Roman"/>
              </w:rPr>
              <w:t>Ministerstwo Infrastruktury</w:t>
            </w:r>
          </w:p>
        </w:tc>
        <w:tc>
          <w:tcPr>
            <w:tcW w:w="1526" w:type="dxa"/>
            <w:shd w:val="clear" w:color="auto" w:fill="auto"/>
          </w:tcPr>
          <w:p w14:paraId="2629784B" w14:textId="45CDDCB6" w:rsidR="006D6263" w:rsidRPr="00584929" w:rsidRDefault="00827AA4" w:rsidP="004A29FC">
            <w:pPr>
              <w:rPr>
                <w:rFonts w:ascii="Times New Roman" w:hAnsi="Times New Roman" w:cs="Times New Roman"/>
              </w:rPr>
            </w:pPr>
            <w:r w:rsidRPr="00584929">
              <w:rPr>
                <w:rFonts w:ascii="Times New Roman" w:hAnsi="Times New Roman" w:cs="Times New Roman"/>
              </w:rPr>
              <w:t>Art. 18</w:t>
            </w:r>
          </w:p>
        </w:tc>
        <w:tc>
          <w:tcPr>
            <w:tcW w:w="5323" w:type="dxa"/>
            <w:shd w:val="clear" w:color="auto" w:fill="auto"/>
          </w:tcPr>
          <w:p w14:paraId="1FF88B1F" w14:textId="7D2AC524" w:rsidR="00827AA4" w:rsidRPr="00584929" w:rsidRDefault="00827AA4" w:rsidP="006A3FAE">
            <w:pPr>
              <w:jc w:val="both"/>
              <w:rPr>
                <w:rFonts w:ascii="Times New Roman" w:hAnsi="Times New Roman" w:cs="Times New Roman"/>
              </w:rPr>
            </w:pPr>
            <w:r w:rsidRPr="00584929">
              <w:rPr>
                <w:rFonts w:ascii="Times New Roman" w:hAnsi="Times New Roman" w:cs="Times New Roman"/>
              </w:rPr>
              <w:t>Jednocześnie należy zwrócić uwagę na to, że w projek</w:t>
            </w:r>
            <w:r w:rsidR="006A3FAE" w:rsidRPr="00584929">
              <w:rPr>
                <w:rFonts w:ascii="Times New Roman" w:hAnsi="Times New Roman" w:cs="Times New Roman"/>
              </w:rPr>
              <w:t>cie brakuje określenia zasad, w </w:t>
            </w:r>
            <w:r w:rsidRPr="00584929">
              <w:rPr>
                <w:rFonts w:ascii="Times New Roman" w:hAnsi="Times New Roman" w:cs="Times New Roman"/>
              </w:rPr>
              <w:t xml:space="preserve">oparciu o które należy ustalać wysokość opłaty za przygotowanie lub przekazanie </w:t>
            </w:r>
            <w:r w:rsidRPr="00584929">
              <w:rPr>
                <w:rFonts w:ascii="Times New Roman" w:hAnsi="Times New Roman" w:cs="Times New Roman"/>
              </w:rPr>
              <w:lastRenderedPageBreak/>
              <w:t xml:space="preserve">informacji w sposób lub w formacie wskazanym we wniosku, w sytuacji gdy działanie to wymaga poniesienia dodatkowych kosztów (art. 18 projektu). Brak takich zasad spowoduje realne ryzyko braku żądania wniesienia opłat, w przypadku gdy przekazanie informacji w sposób lub w formacie wskazanym we wniosku wymaga poniesienia dodatkowych kosztów, a więc koszty te będą pokrywane przez budżet państwa w ramach konieczności zwiększenia nakładów na funkcjonowanie danego podmiotu zobowiązanego do udostępnienia danych. Wobec czego rozważenia wymaga doprecyzowanie ww. zasad.  </w:t>
            </w:r>
          </w:p>
        </w:tc>
        <w:tc>
          <w:tcPr>
            <w:tcW w:w="4785" w:type="dxa"/>
            <w:shd w:val="clear" w:color="auto" w:fill="auto"/>
          </w:tcPr>
          <w:p w14:paraId="3F74D6D6" w14:textId="77777777" w:rsidR="006D6263" w:rsidRPr="00584929" w:rsidRDefault="00827AA4" w:rsidP="004A29FC">
            <w:pPr>
              <w:rPr>
                <w:rFonts w:ascii="Times New Roman" w:hAnsi="Times New Roman" w:cs="Times New Roman"/>
                <w:b/>
              </w:rPr>
            </w:pPr>
            <w:r w:rsidRPr="00584929">
              <w:rPr>
                <w:rFonts w:ascii="Times New Roman" w:hAnsi="Times New Roman" w:cs="Times New Roman"/>
                <w:b/>
              </w:rPr>
              <w:lastRenderedPageBreak/>
              <w:t>Uwaga nieuwzględniona</w:t>
            </w:r>
          </w:p>
          <w:p w14:paraId="0062B1C1" w14:textId="77777777" w:rsidR="00847D4B" w:rsidRPr="00584929" w:rsidRDefault="00847D4B" w:rsidP="00847D4B">
            <w:pPr>
              <w:jc w:val="both"/>
              <w:rPr>
                <w:rFonts w:ascii="Times New Roman" w:hAnsi="Times New Roman" w:cs="Times New Roman"/>
              </w:rPr>
            </w:pPr>
            <w:r w:rsidRPr="00584929">
              <w:rPr>
                <w:rFonts w:ascii="Times New Roman" w:hAnsi="Times New Roman" w:cs="Times New Roman"/>
              </w:rPr>
              <w:t xml:space="preserve">Opłata, o której mowa w art. 18 ust. 1 projektu ustawy stanowi ekwiwalent kosztów poniesionych </w:t>
            </w:r>
            <w:r w:rsidRPr="00584929">
              <w:rPr>
                <w:rFonts w:ascii="Times New Roman" w:hAnsi="Times New Roman" w:cs="Times New Roman"/>
              </w:rPr>
              <w:lastRenderedPageBreak/>
              <w:t xml:space="preserve">przez podmiot zobowiązany w związku z przygotowaniem lub przekazaniem informacji sektora publicznego w sposób zgodny z żądaniem wnioskodawcy, przy czym opłata, o której mowa w art. 18 nie może być rozumiana jako opłata za czynności dokonywane ramach zwykłej działalności podmiotu zobowiązanego. </w:t>
            </w:r>
          </w:p>
          <w:p w14:paraId="6549DCB4" w14:textId="77777777" w:rsidR="00847D4B" w:rsidRPr="00584929" w:rsidRDefault="00847D4B" w:rsidP="00847D4B">
            <w:pPr>
              <w:jc w:val="both"/>
              <w:rPr>
                <w:rFonts w:ascii="Times New Roman" w:hAnsi="Times New Roman" w:cs="Times New Roman"/>
              </w:rPr>
            </w:pPr>
            <w:r w:rsidRPr="00584929">
              <w:rPr>
                <w:rFonts w:ascii="Times New Roman" w:hAnsi="Times New Roman" w:cs="Times New Roman"/>
              </w:rPr>
              <w:t xml:space="preserve">W dotychczas obowiązujących przepisach (ustawa z 2016 r.) oraz projektowej regulacji celowo nie wskazano wprost o jakie czynniki chodzi, bowiem decyzja o nałożeniu opłaty powinna być rozpatrywana indywidulanie w przypadku każdego wniosku. </w:t>
            </w:r>
          </w:p>
          <w:p w14:paraId="5DA4C9F2" w14:textId="77777777" w:rsidR="00847D4B" w:rsidRPr="00584929" w:rsidRDefault="00847D4B" w:rsidP="00847D4B">
            <w:pPr>
              <w:jc w:val="both"/>
              <w:rPr>
                <w:rFonts w:ascii="Times New Roman" w:hAnsi="Times New Roman" w:cs="Times New Roman"/>
              </w:rPr>
            </w:pPr>
            <w:r w:rsidRPr="00584929">
              <w:rPr>
                <w:rFonts w:ascii="Times New Roman" w:hAnsi="Times New Roman" w:cs="Times New Roman"/>
              </w:rPr>
              <w:t>W art. 18 ust. 2 wskazano przesłanki ustalenia wysokości opłaty:</w:t>
            </w:r>
          </w:p>
          <w:p w14:paraId="15E42800" w14:textId="77777777" w:rsidR="00847D4B" w:rsidRPr="00584929" w:rsidRDefault="00847D4B" w:rsidP="00A07FD4">
            <w:pPr>
              <w:numPr>
                <w:ilvl w:val="0"/>
                <w:numId w:val="36"/>
              </w:numPr>
              <w:ind w:left="317"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 xml:space="preserve">koszty przygotowania lub przekazania ISP w określony sposób i w określonej formie </w:t>
            </w:r>
          </w:p>
          <w:p w14:paraId="6CDF4EBB" w14:textId="77777777" w:rsidR="00847D4B" w:rsidRPr="00584929" w:rsidRDefault="00847D4B" w:rsidP="00A07FD4">
            <w:pPr>
              <w:numPr>
                <w:ilvl w:val="0"/>
                <w:numId w:val="36"/>
              </w:numPr>
              <w:ind w:left="317"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inne czynniki, które będą brane pod uwagę przy rozpatrywaniu wniosków, które mogą mieć wpływ na koszt lub czas  przygotowania lub przekazania ISP</w:t>
            </w:r>
          </w:p>
          <w:p w14:paraId="4DDC47C1" w14:textId="77777777" w:rsidR="00847D4B" w:rsidRPr="00584929" w:rsidRDefault="00847D4B" w:rsidP="00847D4B">
            <w:pPr>
              <w:jc w:val="both"/>
              <w:rPr>
                <w:rFonts w:ascii="Times New Roman" w:hAnsi="Times New Roman" w:cs="Times New Roman"/>
              </w:rPr>
            </w:pPr>
            <w:r w:rsidRPr="00584929">
              <w:rPr>
                <w:rFonts w:ascii="Times New Roman" w:hAnsi="Times New Roman" w:cs="Times New Roman"/>
              </w:rPr>
              <w:t xml:space="preserve">Dodatkowymi kosztami mogą być np. koszty nośnika, na którym mają zostać udostępnione dane, koszty tłumaczenia na język obcy czy koszty skorzystania z usługi zewnętrznego podmiotu w celu utrwalania informacji w sposób wskazany we wniosku (np. druk wielkoformatowy). </w:t>
            </w:r>
          </w:p>
          <w:p w14:paraId="1CFDEEBE" w14:textId="16B99FA4" w:rsidR="00847D4B" w:rsidRPr="00584929" w:rsidRDefault="00847D4B" w:rsidP="00847D4B">
            <w:pPr>
              <w:jc w:val="both"/>
              <w:rPr>
                <w:rFonts w:ascii="Times New Roman" w:hAnsi="Times New Roman" w:cs="Times New Roman"/>
              </w:rPr>
            </w:pPr>
            <w:r w:rsidRPr="00584929">
              <w:rPr>
                <w:rFonts w:ascii="Times New Roman" w:hAnsi="Times New Roman" w:cs="Times New Roman"/>
              </w:rPr>
              <w:t xml:space="preserve">Tożsamym pojęciem „dodatkowych kosztów” posłużono się w przepisach dot. rozpatrywania wniosków w o dostęp do informacji publicznej (art. 15 ustawy o dostępie do informacji sektora publicznego). W związku z powyższym za zasadne należy przyjąć sięgnięcie na zasadzie analogii do orzecznictwa sądowego ukształtowanego na gruncie tej ustawy. Kosztem dodatkowym będzie w tej </w:t>
            </w:r>
            <w:r w:rsidRPr="00584929">
              <w:rPr>
                <w:rFonts w:ascii="Times New Roman" w:hAnsi="Times New Roman" w:cs="Times New Roman"/>
              </w:rPr>
              <w:lastRenderedPageBreak/>
              <w:t>sytuacji wydatek rzeczywiście poniesiony ponad zwykły koszt funkcjonowania, związany z realizacją wskazanego we wniosku sposobu udostępniania lub koniecznością przekształcenia informacji. Musi to być koszt wykraczający poza normalne koszty funkcjonowania podmiotu zobowiązanego (wyrok WSA w Łodzi z 20.01.2016 r., sygn. akt II SA/Łd 978/15, wyrok WSA w Łodzi z dnia 20.05.020 r., sygn. aky II SA/Łd 23/20). W związku z powyższym koszty dodatkowe to takie koszty, których podmiot zobowiązany nie poniósłby gdyby nie treść wniosku.</w:t>
            </w:r>
          </w:p>
        </w:tc>
      </w:tr>
      <w:tr w:rsidR="006D6263" w:rsidRPr="00584929" w14:paraId="769900B2" w14:textId="77777777" w:rsidTr="00D94ED7">
        <w:tc>
          <w:tcPr>
            <w:tcW w:w="676" w:type="dxa"/>
            <w:shd w:val="clear" w:color="auto" w:fill="auto"/>
          </w:tcPr>
          <w:p w14:paraId="0D688FDA"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7F6366B9" w14:textId="31608D6D" w:rsidR="006D6263" w:rsidRPr="00584929" w:rsidRDefault="00823D42" w:rsidP="004A29FC">
            <w:pPr>
              <w:rPr>
                <w:rFonts w:ascii="Times New Roman" w:hAnsi="Times New Roman" w:cs="Times New Roman"/>
              </w:rPr>
            </w:pPr>
            <w:r w:rsidRPr="00584929">
              <w:rPr>
                <w:rFonts w:ascii="Times New Roman" w:hAnsi="Times New Roman" w:cs="Times New Roman"/>
              </w:rPr>
              <w:t>Ministerstwo Nauki i Szkolnictwa Wyższego</w:t>
            </w:r>
          </w:p>
        </w:tc>
        <w:tc>
          <w:tcPr>
            <w:tcW w:w="1526" w:type="dxa"/>
            <w:shd w:val="clear" w:color="auto" w:fill="auto"/>
          </w:tcPr>
          <w:p w14:paraId="2368C0D1" w14:textId="163E8D2E" w:rsidR="006D6263" w:rsidRPr="00584929" w:rsidRDefault="00823D42" w:rsidP="004A29FC">
            <w:pPr>
              <w:rPr>
                <w:rFonts w:ascii="Times New Roman" w:hAnsi="Times New Roman" w:cs="Times New Roman"/>
              </w:rPr>
            </w:pPr>
            <w:r w:rsidRPr="00584929">
              <w:rPr>
                <w:rFonts w:ascii="Times New Roman" w:hAnsi="Times New Roman" w:cs="Times New Roman"/>
              </w:rPr>
              <w:t>Art. 22 ust. 1</w:t>
            </w:r>
          </w:p>
        </w:tc>
        <w:tc>
          <w:tcPr>
            <w:tcW w:w="5323" w:type="dxa"/>
            <w:shd w:val="clear" w:color="auto" w:fill="auto"/>
          </w:tcPr>
          <w:p w14:paraId="04B9E447" w14:textId="3EE9A370" w:rsidR="00823D42" w:rsidRPr="00584929" w:rsidRDefault="00823D42" w:rsidP="00FD5309">
            <w:pPr>
              <w:jc w:val="both"/>
              <w:rPr>
                <w:rFonts w:ascii="Times New Roman" w:hAnsi="Times New Roman" w:cs="Times New Roman"/>
              </w:rPr>
            </w:pPr>
            <w:r w:rsidRPr="00584929">
              <w:rPr>
                <w:rFonts w:ascii="Times New Roman" w:hAnsi="Times New Roman" w:cs="Times New Roman"/>
              </w:rPr>
              <w:t>W przywołanym przepisie należy zaznaczyć, że procesy służące umożliwieniu ponownego wykorzystania danych badawczych, w tym ich wytworzenie, zbudowanie bazy, umieszczenie w bazie, przetworzenie do odpowiedniego formatu itd., powinny być finansowane ze środków publicznych, gdyż określenie, że ze środków tych są finansowane dane badacze jest zbyt ogólne i może budzić wątpliwości interpretacyjne.</w:t>
            </w:r>
          </w:p>
        </w:tc>
        <w:tc>
          <w:tcPr>
            <w:tcW w:w="4785" w:type="dxa"/>
            <w:shd w:val="clear" w:color="auto" w:fill="auto"/>
          </w:tcPr>
          <w:p w14:paraId="3AE35874" w14:textId="77777777" w:rsidR="006D6263" w:rsidRPr="00584929" w:rsidRDefault="00823D42" w:rsidP="004A29FC">
            <w:pPr>
              <w:rPr>
                <w:rFonts w:ascii="Times New Roman" w:hAnsi="Times New Roman" w:cs="Times New Roman"/>
                <w:b/>
              </w:rPr>
            </w:pPr>
            <w:r w:rsidRPr="00584929">
              <w:rPr>
                <w:rFonts w:ascii="Times New Roman" w:hAnsi="Times New Roman" w:cs="Times New Roman"/>
                <w:b/>
              </w:rPr>
              <w:t>Uwaga nieuwzględniona</w:t>
            </w:r>
          </w:p>
          <w:p w14:paraId="71304D33" w14:textId="77777777" w:rsidR="00457C4A" w:rsidRPr="00584929" w:rsidRDefault="006A3448" w:rsidP="00457C4A">
            <w:pPr>
              <w:spacing w:line="259" w:lineRule="auto"/>
              <w:jc w:val="both"/>
              <w:rPr>
                <w:rFonts w:ascii="Times New Roman" w:hAnsi="Times New Roman" w:cs="Times New Roman"/>
              </w:rPr>
            </w:pPr>
            <w:r w:rsidRPr="00584929">
              <w:rPr>
                <w:rFonts w:ascii="Times New Roman" w:hAnsi="Times New Roman" w:cs="Times New Roman"/>
              </w:rPr>
              <w:t xml:space="preserve">Przepis art. 22 ust. 1 </w:t>
            </w:r>
            <w:r w:rsidR="00413001" w:rsidRPr="00584929">
              <w:rPr>
                <w:rFonts w:ascii="Times New Roman" w:hAnsi="Times New Roman" w:cs="Times New Roman"/>
              </w:rPr>
              <w:t xml:space="preserve">projektu ustawy </w:t>
            </w:r>
            <w:r w:rsidRPr="00584929">
              <w:rPr>
                <w:rFonts w:ascii="Times New Roman" w:hAnsi="Times New Roman" w:cs="Times New Roman"/>
              </w:rPr>
              <w:t>implementuje art. 10 ust. 2 d</w:t>
            </w:r>
            <w:r w:rsidR="00413001" w:rsidRPr="00584929">
              <w:rPr>
                <w:rFonts w:ascii="Times New Roman" w:hAnsi="Times New Roman" w:cs="Times New Roman"/>
              </w:rPr>
              <w:t>yrektywy 2019/1024/UE, zgo</w:t>
            </w:r>
            <w:r w:rsidR="00457C4A" w:rsidRPr="00584929">
              <w:rPr>
                <w:rFonts w:ascii="Times New Roman" w:hAnsi="Times New Roman" w:cs="Times New Roman"/>
              </w:rPr>
              <w:t>d</w:t>
            </w:r>
            <w:r w:rsidR="00413001" w:rsidRPr="00584929">
              <w:rPr>
                <w:rFonts w:ascii="Times New Roman" w:hAnsi="Times New Roman" w:cs="Times New Roman"/>
              </w:rPr>
              <w:t>nie z </w:t>
            </w:r>
            <w:r w:rsidRPr="00584929">
              <w:rPr>
                <w:rFonts w:ascii="Times New Roman" w:hAnsi="Times New Roman" w:cs="Times New Roman"/>
              </w:rPr>
              <w:t>którym dane badawcze  udostępnia się  do  ponownego wykorzystywania</w:t>
            </w:r>
            <w:r w:rsidRPr="00584929">
              <w:t xml:space="preserve"> </w:t>
            </w:r>
            <w:r w:rsidR="00457C4A" w:rsidRPr="00584929">
              <w:rPr>
                <w:rFonts w:ascii="Times New Roman" w:hAnsi="Times New Roman" w:cs="Times New Roman"/>
              </w:rPr>
              <w:t xml:space="preserve">w celach komercyjnych  lub  niekomercyjnych   </w:t>
            </w:r>
            <w:r w:rsidR="00457C4A" w:rsidRPr="00584929">
              <w:rPr>
                <w:rFonts w:ascii="Times New Roman" w:hAnsi="Times New Roman" w:cs="Times New Roman"/>
                <w:u w:val="single"/>
              </w:rPr>
              <w:t>w  zakresie, w  jakim  dane  te  są  finansowane ze środków  publicznych</w:t>
            </w:r>
            <w:r w:rsidR="00457C4A" w:rsidRPr="00584929">
              <w:rPr>
                <w:rFonts w:ascii="Times New Roman" w:hAnsi="Times New Roman" w:cs="Times New Roman"/>
              </w:rPr>
              <w:t xml:space="preserve">  i  zostały już  publicznie udostępnione przez naukowców,  organizacje prowadzące  badania naukowe  lub  organizacje finansujące badania naukowe  za  pośrednictwem repozytorium  instytucjonalnego lub tematycznego.</w:t>
            </w:r>
          </w:p>
          <w:p w14:paraId="6A771CCE" w14:textId="0F690305" w:rsidR="006A3448" w:rsidRPr="00584929" w:rsidRDefault="006A3448" w:rsidP="00457C4A">
            <w:pPr>
              <w:spacing w:line="259" w:lineRule="auto"/>
              <w:jc w:val="both"/>
              <w:rPr>
                <w:rFonts w:ascii="Times New Roman" w:hAnsi="Times New Roman" w:cs="Times New Roman"/>
              </w:rPr>
            </w:pPr>
            <w:r w:rsidRPr="00584929">
              <w:rPr>
                <w:rFonts w:ascii="Times New Roman" w:hAnsi="Times New Roman" w:cs="Times New Roman"/>
              </w:rPr>
              <w:t>Przesłanka dot. źródła finansowania, o której mowa w art. 22 ust. 1 projektu zostanie spełniona kiedy dane badawcze (stanowiące wynik działalności naukowej) powst</w:t>
            </w:r>
            <w:r w:rsidR="00457C4A" w:rsidRPr="00584929">
              <w:rPr>
                <w:rFonts w:ascii="Times New Roman" w:hAnsi="Times New Roman" w:cs="Times New Roman"/>
              </w:rPr>
              <w:t>aną</w:t>
            </w:r>
            <w:r w:rsidRPr="00584929">
              <w:rPr>
                <w:rFonts w:ascii="Times New Roman" w:hAnsi="Times New Roman" w:cs="Times New Roman"/>
              </w:rPr>
              <w:t xml:space="preserve"> z udziałem środków publicznych.   </w:t>
            </w:r>
          </w:p>
        </w:tc>
      </w:tr>
      <w:tr w:rsidR="006D6263" w:rsidRPr="00584929" w14:paraId="432AEC24" w14:textId="77777777" w:rsidTr="00D94ED7">
        <w:tc>
          <w:tcPr>
            <w:tcW w:w="676" w:type="dxa"/>
            <w:shd w:val="clear" w:color="auto" w:fill="auto"/>
          </w:tcPr>
          <w:p w14:paraId="6DDCCE1C" w14:textId="1CB38C12" w:rsidR="006D6263" w:rsidRPr="00584929" w:rsidRDefault="006D6263" w:rsidP="004A29FC">
            <w:pPr>
              <w:pStyle w:val="Akapitzlist"/>
              <w:numPr>
                <w:ilvl w:val="0"/>
                <w:numId w:val="20"/>
              </w:numPr>
              <w:rPr>
                <w:sz w:val="22"/>
                <w:szCs w:val="22"/>
              </w:rPr>
            </w:pPr>
          </w:p>
        </w:tc>
        <w:tc>
          <w:tcPr>
            <w:tcW w:w="1968" w:type="dxa"/>
            <w:shd w:val="clear" w:color="auto" w:fill="auto"/>
          </w:tcPr>
          <w:p w14:paraId="4ADC04B4" w14:textId="3A079151" w:rsidR="006D6263" w:rsidRPr="00584929" w:rsidRDefault="007F361B" w:rsidP="004A29FC">
            <w:pPr>
              <w:rPr>
                <w:rFonts w:ascii="Times New Roman" w:hAnsi="Times New Roman" w:cs="Times New Roman"/>
              </w:rPr>
            </w:pPr>
            <w:r w:rsidRPr="00584929">
              <w:rPr>
                <w:rFonts w:ascii="Times New Roman" w:hAnsi="Times New Roman" w:cs="Times New Roman"/>
              </w:rPr>
              <w:t>Ministerstwo Nauki i Szkolnictwa Wyższego</w:t>
            </w:r>
          </w:p>
        </w:tc>
        <w:tc>
          <w:tcPr>
            <w:tcW w:w="1526" w:type="dxa"/>
            <w:shd w:val="clear" w:color="auto" w:fill="auto"/>
          </w:tcPr>
          <w:p w14:paraId="75AD4308" w14:textId="0B7D8725" w:rsidR="006D6263" w:rsidRPr="00584929" w:rsidRDefault="007F361B" w:rsidP="004A29FC">
            <w:pPr>
              <w:rPr>
                <w:rFonts w:ascii="Times New Roman" w:hAnsi="Times New Roman" w:cs="Times New Roman"/>
              </w:rPr>
            </w:pPr>
            <w:r w:rsidRPr="00584929">
              <w:rPr>
                <w:rFonts w:ascii="Times New Roman" w:hAnsi="Times New Roman" w:cs="Times New Roman"/>
              </w:rPr>
              <w:t>Art. 23</w:t>
            </w:r>
          </w:p>
        </w:tc>
        <w:tc>
          <w:tcPr>
            <w:tcW w:w="5323" w:type="dxa"/>
            <w:shd w:val="clear" w:color="auto" w:fill="auto"/>
          </w:tcPr>
          <w:p w14:paraId="0C152E9D" w14:textId="77777777" w:rsidR="007F361B" w:rsidRPr="00584929" w:rsidRDefault="007F361B" w:rsidP="00FD5309">
            <w:pPr>
              <w:jc w:val="both"/>
              <w:rPr>
                <w:rFonts w:ascii="Times New Roman" w:hAnsi="Times New Roman" w:cs="Times New Roman"/>
              </w:rPr>
            </w:pPr>
            <w:r w:rsidRPr="00584929">
              <w:rPr>
                <w:rFonts w:ascii="Times New Roman" w:hAnsi="Times New Roman" w:cs="Times New Roman"/>
              </w:rPr>
              <w:t xml:space="preserve">W przedmiotowej ustawie nie wskazano formy prawnej Polityki otwartych danych badawczych. Przepis ma brzmienie zbliżone do upoważnienia ustawowego do wydania rozporządzenia, ale taka forma nie została w nim wskazana. Nie została wskazana również żadna inna </w:t>
            </w:r>
            <w:r w:rsidRPr="00584929">
              <w:rPr>
                <w:rFonts w:ascii="Times New Roman" w:hAnsi="Times New Roman" w:cs="Times New Roman"/>
              </w:rPr>
              <w:lastRenderedPageBreak/>
              <w:t xml:space="preserve">forma dokumentu rządowego. Nie wiadomo też, co by miało być przedmiotem tej polityki. Wątpliwości budzą też wytyczne do opracowania tego dokumentu w szczególności pkt 4, który w zbyt ogólny sposób wskazuje na relację ww. polityki i 7-letniego Programu Otwierania Danych przyjmowanego przez RM na drodze uchwały. </w:t>
            </w:r>
          </w:p>
          <w:p w14:paraId="12F17B5A" w14:textId="4B682D26" w:rsidR="006D6263" w:rsidRPr="00584929" w:rsidRDefault="007F361B" w:rsidP="00FD5309">
            <w:pPr>
              <w:jc w:val="both"/>
              <w:rPr>
                <w:rFonts w:ascii="Times New Roman" w:hAnsi="Times New Roman" w:cs="Times New Roman"/>
              </w:rPr>
            </w:pPr>
            <w:r w:rsidRPr="00584929">
              <w:rPr>
                <w:rFonts w:ascii="Times New Roman" w:hAnsi="Times New Roman" w:cs="Times New Roman"/>
              </w:rPr>
              <w:t>Dodatkowo, nie wskazano, czy zadaniem MNiSW będzie przygotowanie dokumentu, który będzie podstawą podejmowania działań dla administracji? Czy dla podmiotów spoza administracji? Jeżeli tych drugich, to nie jest możliwe nałożenie obowiązków na ww. podmioty bez podstawy ustawowej. Administracja nie jest właścicielem danych badawczych, nawet tych finansowanych ze środków publicznych.</w:t>
            </w:r>
          </w:p>
        </w:tc>
        <w:tc>
          <w:tcPr>
            <w:tcW w:w="4785" w:type="dxa"/>
            <w:shd w:val="clear" w:color="auto" w:fill="auto"/>
          </w:tcPr>
          <w:p w14:paraId="6C7EB0D0" w14:textId="7F0E3A6E" w:rsidR="007B5690" w:rsidRPr="00584929" w:rsidRDefault="007F361B" w:rsidP="004A29FC">
            <w:pPr>
              <w:rPr>
                <w:rFonts w:ascii="Times New Roman" w:hAnsi="Times New Roman" w:cs="Times New Roman"/>
                <w:b/>
              </w:rPr>
            </w:pPr>
            <w:r w:rsidRPr="00584929">
              <w:rPr>
                <w:rFonts w:ascii="Times New Roman" w:hAnsi="Times New Roman" w:cs="Times New Roman"/>
                <w:b/>
              </w:rPr>
              <w:lastRenderedPageBreak/>
              <w:t>Uwaga uwzględniona kierunkowo</w:t>
            </w:r>
            <w:r w:rsidR="00EE596B" w:rsidRPr="00584929">
              <w:rPr>
                <w:rFonts w:ascii="Times New Roman" w:hAnsi="Times New Roman" w:cs="Times New Roman"/>
                <w:b/>
              </w:rPr>
              <w:t>.</w:t>
            </w:r>
          </w:p>
          <w:p w14:paraId="59BEDB6B" w14:textId="77777777" w:rsidR="007B5690" w:rsidRPr="00584929" w:rsidRDefault="001D0918" w:rsidP="001D0918">
            <w:pPr>
              <w:jc w:val="both"/>
              <w:rPr>
                <w:rFonts w:ascii="Times New Roman" w:hAnsi="Times New Roman" w:cs="Times New Roman"/>
              </w:rPr>
            </w:pPr>
            <w:r w:rsidRPr="00584929">
              <w:rPr>
                <w:rFonts w:ascii="Times New Roman" w:hAnsi="Times New Roman" w:cs="Times New Roman"/>
              </w:rPr>
              <w:t xml:space="preserve">Przepis zostanie zmieniony </w:t>
            </w:r>
            <w:r w:rsidR="007B5690" w:rsidRPr="00584929">
              <w:rPr>
                <w:rFonts w:ascii="Times New Roman" w:hAnsi="Times New Roman" w:cs="Times New Roman"/>
              </w:rPr>
              <w:t>poprzez sprec</w:t>
            </w:r>
            <w:r w:rsidR="002701DE" w:rsidRPr="00584929">
              <w:rPr>
                <w:rFonts w:ascii="Times New Roman" w:hAnsi="Times New Roman" w:cs="Times New Roman"/>
              </w:rPr>
              <w:t>yzowanie podmiotów, do których p</w:t>
            </w:r>
            <w:r w:rsidR="007B5690" w:rsidRPr="00584929">
              <w:rPr>
                <w:rFonts w:ascii="Times New Roman" w:hAnsi="Times New Roman" w:cs="Times New Roman"/>
              </w:rPr>
              <w:t>olityka otwart</w:t>
            </w:r>
            <w:r w:rsidR="002701DE" w:rsidRPr="00584929">
              <w:rPr>
                <w:rFonts w:ascii="Times New Roman" w:hAnsi="Times New Roman" w:cs="Times New Roman"/>
              </w:rPr>
              <w:t>ego dostępu do</w:t>
            </w:r>
            <w:r w:rsidR="007B5690" w:rsidRPr="00584929">
              <w:rPr>
                <w:rFonts w:ascii="Times New Roman" w:hAnsi="Times New Roman" w:cs="Times New Roman"/>
              </w:rPr>
              <w:t xml:space="preserve"> danych </w:t>
            </w:r>
            <w:r w:rsidR="002701DE" w:rsidRPr="00584929">
              <w:rPr>
                <w:rFonts w:ascii="Times New Roman" w:hAnsi="Times New Roman" w:cs="Times New Roman"/>
              </w:rPr>
              <w:t xml:space="preserve">badawczych </w:t>
            </w:r>
            <w:r w:rsidR="007B5690" w:rsidRPr="00584929">
              <w:rPr>
                <w:rFonts w:ascii="Times New Roman" w:hAnsi="Times New Roman" w:cs="Times New Roman"/>
              </w:rPr>
              <w:t>będzie kierowana.</w:t>
            </w:r>
            <w:r w:rsidR="00F15A89" w:rsidRPr="00584929">
              <w:rPr>
                <w:rFonts w:ascii="Times New Roman" w:hAnsi="Times New Roman" w:cs="Times New Roman"/>
              </w:rPr>
              <w:t xml:space="preserve"> Wybór rodzaju instrumentu pozostaje po stronie MNiSW.</w:t>
            </w:r>
          </w:p>
          <w:p w14:paraId="09F46FD7" w14:textId="77777777" w:rsidR="001D0918" w:rsidRPr="00584929" w:rsidRDefault="001D0918" w:rsidP="001D0918">
            <w:pPr>
              <w:jc w:val="both"/>
              <w:rPr>
                <w:rFonts w:ascii="Times New Roman" w:hAnsi="Times New Roman" w:cs="Times New Roman"/>
              </w:rPr>
            </w:pPr>
          </w:p>
          <w:p w14:paraId="358C55ED" w14:textId="77777777" w:rsidR="00D04B6A" w:rsidRPr="00584929" w:rsidRDefault="001D0918" w:rsidP="00D04B6A">
            <w:pPr>
              <w:jc w:val="both"/>
              <w:rPr>
                <w:rFonts w:ascii="Times New Roman" w:hAnsi="Times New Roman" w:cs="Times New Roman"/>
              </w:rPr>
            </w:pPr>
            <w:r w:rsidRPr="00584929">
              <w:rPr>
                <w:rFonts w:ascii="Times New Roman" w:hAnsi="Times New Roman" w:cs="Times New Roman"/>
              </w:rPr>
              <w:t xml:space="preserve">Dodatkowe wyjaśnienia: </w:t>
            </w:r>
          </w:p>
          <w:p w14:paraId="0B96B4FA" w14:textId="69E997E5" w:rsidR="001D0918" w:rsidRPr="00584929" w:rsidRDefault="00D04B6A" w:rsidP="00D04B6A">
            <w:pPr>
              <w:jc w:val="both"/>
              <w:rPr>
                <w:rFonts w:ascii="Times New Roman" w:hAnsi="Times New Roman" w:cs="Times New Roman"/>
              </w:rPr>
            </w:pPr>
            <w:r w:rsidRPr="00584929">
              <w:rPr>
                <w:rFonts w:ascii="Times New Roman" w:hAnsi="Times New Roman" w:cs="Times New Roman"/>
              </w:rPr>
              <w:t>Zgodnie z art. a</w:t>
            </w:r>
            <w:r w:rsidR="001D0918" w:rsidRPr="00584929">
              <w:rPr>
                <w:rFonts w:ascii="Times New Roman" w:hAnsi="Times New Roman" w:cs="Times New Roman"/>
              </w:rPr>
              <w:t xml:space="preserve">rt. 10 ust. 1 dyrektywy </w:t>
            </w:r>
            <w:r w:rsidRPr="00584929">
              <w:rPr>
                <w:rFonts w:ascii="Times New Roman" w:hAnsi="Times New Roman" w:cs="Times New Roman"/>
              </w:rPr>
              <w:t>2019/1024/UE p</w:t>
            </w:r>
            <w:r w:rsidR="001D0918" w:rsidRPr="00584929">
              <w:rPr>
                <w:rFonts w:ascii="Times New Roman" w:hAnsi="Times New Roman" w:cs="Times New Roman"/>
              </w:rPr>
              <w:t>aństwa członkowskie wspierają dostępność danych  badawczych  poprzez przyjęcie polityki krajowej  oraz podejmowanie  odpowiednich działań mających  na  celu  zapewnienie powszechnej dostępności danych  badawczych finansowanych  ze  środków  publicznych  („polityka otwartego  dostępu”). Wspomnianą politykę otwartego  dostępu kieruje się do organizacji</w:t>
            </w:r>
            <w:r w:rsidRPr="00584929">
              <w:rPr>
                <w:rFonts w:ascii="Times New Roman" w:hAnsi="Times New Roman" w:cs="Times New Roman"/>
              </w:rPr>
              <w:t xml:space="preserve"> prowadzących badania naukowe i </w:t>
            </w:r>
            <w:r w:rsidR="001D0918" w:rsidRPr="00584929">
              <w:rPr>
                <w:rFonts w:ascii="Times New Roman" w:hAnsi="Times New Roman" w:cs="Times New Roman"/>
              </w:rPr>
              <w:t>organizacji finansujących badania naukowe.</w:t>
            </w:r>
          </w:p>
          <w:p w14:paraId="3DED71FF" w14:textId="756FEE22" w:rsidR="00D04B6A" w:rsidRPr="00584929" w:rsidRDefault="001D0918" w:rsidP="00D04B6A">
            <w:pPr>
              <w:spacing w:line="259" w:lineRule="auto"/>
              <w:jc w:val="both"/>
              <w:rPr>
                <w:rFonts w:ascii="Times New Roman" w:hAnsi="Times New Roman" w:cs="Times New Roman"/>
              </w:rPr>
            </w:pPr>
            <w:r w:rsidRPr="00584929">
              <w:rPr>
                <w:rFonts w:ascii="Times New Roman" w:hAnsi="Times New Roman" w:cs="Times New Roman"/>
              </w:rPr>
              <w:t xml:space="preserve">Polityka </w:t>
            </w:r>
            <w:r w:rsidR="00D04B6A" w:rsidRPr="00584929">
              <w:rPr>
                <w:rFonts w:ascii="Times New Roman" w:hAnsi="Times New Roman" w:cs="Times New Roman"/>
              </w:rPr>
              <w:t xml:space="preserve">otwartego dostępu do danych badawczych </w:t>
            </w:r>
            <w:r w:rsidRPr="00584929">
              <w:rPr>
                <w:rFonts w:ascii="Times New Roman" w:hAnsi="Times New Roman" w:cs="Times New Roman"/>
              </w:rPr>
              <w:t xml:space="preserve">może być </w:t>
            </w:r>
            <w:r w:rsidR="00D04B6A" w:rsidRPr="00584929">
              <w:rPr>
                <w:rFonts w:ascii="Times New Roman" w:hAnsi="Times New Roman" w:cs="Times New Roman"/>
              </w:rPr>
              <w:t xml:space="preserve">zatem </w:t>
            </w:r>
            <w:r w:rsidRPr="00584929">
              <w:rPr>
                <w:rFonts w:ascii="Times New Roman" w:hAnsi="Times New Roman" w:cs="Times New Roman"/>
              </w:rPr>
              <w:t>kierowana do tych samych podmiotów jak już przyjęty przez MNiSW dokument „Kierunki rozwoju otwartego dostępu do publikacji i wyników badań naukowych w Polsce”</w:t>
            </w:r>
            <w:r w:rsidR="00D04B6A" w:rsidRPr="00584929">
              <w:rPr>
                <w:rStyle w:val="Odwoanieprzypisudolnego"/>
                <w:rFonts w:ascii="Times New Roman" w:hAnsi="Times New Roman" w:cs="Times New Roman"/>
              </w:rPr>
              <w:footnoteReference w:id="10"/>
            </w:r>
            <w:r w:rsidR="00C84837">
              <w:rPr>
                <w:rFonts w:ascii="Times New Roman" w:hAnsi="Times New Roman" w:cs="Times New Roman"/>
                <w:vertAlign w:val="superscript"/>
              </w:rPr>
              <w:t>)</w:t>
            </w:r>
            <w:r w:rsidRPr="00584929">
              <w:rPr>
                <w:rFonts w:ascii="Times New Roman" w:hAnsi="Times New Roman" w:cs="Times New Roman"/>
              </w:rPr>
              <w:t>. Dokument ten</w:t>
            </w:r>
            <w:r w:rsidR="00D04B6A" w:rsidRPr="00584929">
              <w:rPr>
                <w:rFonts w:ascii="Times New Roman" w:hAnsi="Times New Roman" w:cs="Times New Roman"/>
              </w:rPr>
              <w:t xml:space="preserve"> ma charakter zaleceń </w:t>
            </w:r>
            <w:r w:rsidRPr="00584929">
              <w:rPr>
                <w:rFonts w:ascii="Times New Roman" w:hAnsi="Times New Roman" w:cs="Times New Roman"/>
              </w:rPr>
              <w:t xml:space="preserve">dotyczących wprowadzania otwartego dostępu przez podmioty finansujące badania (NCN, NCBR, MNiSW), jednostki naukowe, uczelnie oraz wydawców, w tym wydawców czasopism naukowych. </w:t>
            </w:r>
            <w:r w:rsidR="00D04B6A" w:rsidRPr="00584929">
              <w:rPr>
                <w:rFonts w:ascii="Times New Roman" w:hAnsi="Times New Roman" w:cs="Times New Roman"/>
              </w:rPr>
              <w:t xml:space="preserve">W większości są to </w:t>
            </w:r>
            <w:r w:rsidRPr="00584929">
              <w:rPr>
                <w:rFonts w:ascii="Times New Roman" w:hAnsi="Times New Roman" w:cs="Times New Roman"/>
              </w:rPr>
              <w:t xml:space="preserve">podmioty </w:t>
            </w:r>
            <w:r w:rsidR="00D04B6A" w:rsidRPr="00584929">
              <w:rPr>
                <w:rFonts w:ascii="Times New Roman" w:hAnsi="Times New Roman" w:cs="Times New Roman"/>
              </w:rPr>
              <w:t xml:space="preserve">wskazane w </w:t>
            </w:r>
            <w:r w:rsidRPr="00584929">
              <w:rPr>
                <w:rFonts w:ascii="Times New Roman" w:hAnsi="Times New Roman" w:cs="Times New Roman"/>
              </w:rPr>
              <w:t xml:space="preserve">art. 7 ust. 1 i 2 ustawy </w:t>
            </w:r>
            <w:r w:rsidR="00D04B6A" w:rsidRPr="00584929">
              <w:rPr>
                <w:rFonts w:ascii="Times New Roman" w:hAnsi="Times New Roman" w:cs="Times New Roman"/>
              </w:rPr>
              <w:t>z dnia 20 lipca 2018 r. – P</w:t>
            </w:r>
            <w:r w:rsidRPr="00584929">
              <w:rPr>
                <w:rFonts w:ascii="Times New Roman" w:hAnsi="Times New Roman" w:cs="Times New Roman"/>
              </w:rPr>
              <w:t>rawo o szkolnictwem wyższym</w:t>
            </w:r>
            <w:r w:rsidR="00D04B6A" w:rsidRPr="00584929">
              <w:rPr>
                <w:rFonts w:ascii="Times New Roman" w:hAnsi="Times New Roman" w:cs="Times New Roman"/>
              </w:rPr>
              <w:t xml:space="preserve"> i nauce (Dz. U. z 2020 r. poz. 85, z późn. zm.).</w:t>
            </w:r>
          </w:p>
          <w:p w14:paraId="2ED5E07A" w14:textId="77777777" w:rsidR="00D04B6A" w:rsidRPr="00584929" w:rsidRDefault="00D04B6A" w:rsidP="00D04B6A">
            <w:pPr>
              <w:spacing w:line="259" w:lineRule="auto"/>
              <w:jc w:val="both"/>
              <w:rPr>
                <w:rFonts w:ascii="Times New Roman" w:hAnsi="Times New Roman" w:cs="Times New Roman"/>
                <w:b/>
              </w:rPr>
            </w:pPr>
            <w:r w:rsidRPr="00584929">
              <w:rPr>
                <w:rFonts w:ascii="Times New Roman" w:hAnsi="Times New Roman" w:cs="Times New Roman"/>
              </w:rPr>
              <w:t xml:space="preserve">Dokument „Kierunki rozwoju otwartego dostępu do publikacji i wyników badań naukowych  w  Polsce” została opracowany przez  </w:t>
            </w:r>
            <w:r w:rsidR="001D0918" w:rsidRPr="00584929">
              <w:rPr>
                <w:rFonts w:ascii="Times New Roman" w:hAnsi="Times New Roman" w:cs="Times New Roman"/>
              </w:rPr>
              <w:t>Ministerstwo  Nauki  i</w:t>
            </w:r>
            <w:r w:rsidRPr="00584929">
              <w:rPr>
                <w:rFonts w:ascii="Times New Roman" w:hAnsi="Times New Roman" w:cs="Times New Roman"/>
              </w:rPr>
              <w:t> </w:t>
            </w:r>
            <w:r w:rsidR="001D0918" w:rsidRPr="00584929">
              <w:rPr>
                <w:rFonts w:ascii="Times New Roman" w:hAnsi="Times New Roman" w:cs="Times New Roman"/>
              </w:rPr>
              <w:t>Szkolnictwa Wyższego</w:t>
            </w:r>
            <w:r w:rsidRPr="00584929">
              <w:rPr>
                <w:rFonts w:ascii="Times New Roman" w:hAnsi="Times New Roman" w:cs="Times New Roman"/>
              </w:rPr>
              <w:t xml:space="preserve"> w podstawie</w:t>
            </w:r>
            <w:r w:rsidR="001D0918" w:rsidRPr="00584929">
              <w:rPr>
                <w:rFonts w:ascii="Times New Roman" w:hAnsi="Times New Roman" w:cs="Times New Roman"/>
              </w:rPr>
              <w:t xml:space="preserve"> rekomendacj</w:t>
            </w:r>
            <w:r w:rsidRPr="00584929">
              <w:rPr>
                <w:rFonts w:ascii="Times New Roman" w:hAnsi="Times New Roman" w:cs="Times New Roman"/>
              </w:rPr>
              <w:t>i</w:t>
            </w:r>
            <w:r w:rsidR="001D0918" w:rsidRPr="00584929">
              <w:rPr>
                <w:rFonts w:ascii="Times New Roman" w:hAnsi="Times New Roman" w:cs="Times New Roman"/>
              </w:rPr>
              <w:t xml:space="preserve"> wynikaj</w:t>
            </w:r>
            <w:r w:rsidRPr="00584929">
              <w:rPr>
                <w:rFonts w:ascii="Times New Roman" w:hAnsi="Times New Roman" w:cs="Times New Roman"/>
              </w:rPr>
              <w:t>ących z </w:t>
            </w:r>
            <w:r w:rsidR="001D0918" w:rsidRPr="00584929">
              <w:rPr>
                <w:rFonts w:ascii="Times New Roman" w:hAnsi="Times New Roman" w:cs="Times New Roman"/>
              </w:rPr>
              <w:t xml:space="preserve"> obowiązującego</w:t>
            </w:r>
            <w:r w:rsidRPr="00584929">
              <w:rPr>
                <w:rFonts w:ascii="Times New Roman" w:hAnsi="Times New Roman" w:cs="Times New Roman"/>
              </w:rPr>
              <w:t xml:space="preserve"> ówcześnie</w:t>
            </w:r>
            <w:r w:rsidR="001D0918" w:rsidRPr="00584929">
              <w:rPr>
                <w:rFonts w:ascii="Times New Roman" w:hAnsi="Times New Roman" w:cs="Times New Roman"/>
              </w:rPr>
              <w:t xml:space="preserve"> </w:t>
            </w:r>
            <w:r w:rsidR="001D0918" w:rsidRPr="00584929">
              <w:rPr>
                <w:rFonts w:ascii="Times New Roman" w:hAnsi="Times New Roman" w:cs="Times New Roman"/>
              </w:rPr>
              <w:lastRenderedPageBreak/>
              <w:t>Zalecenia Komisji Europejskiej z dnia 17</w:t>
            </w:r>
            <w:r w:rsidRPr="00584929">
              <w:rPr>
                <w:rFonts w:ascii="Times New Roman" w:hAnsi="Times New Roman" w:cs="Times New Roman"/>
              </w:rPr>
              <w:t xml:space="preserve"> </w:t>
            </w:r>
            <w:r w:rsidR="001D0918" w:rsidRPr="00584929">
              <w:rPr>
                <w:rFonts w:ascii="Times New Roman" w:hAnsi="Times New Roman" w:cs="Times New Roman"/>
              </w:rPr>
              <w:t>lipca 2012</w:t>
            </w:r>
            <w:r w:rsidRPr="00584929">
              <w:rPr>
                <w:rFonts w:ascii="Times New Roman" w:hAnsi="Times New Roman" w:cs="Times New Roman"/>
              </w:rPr>
              <w:t> </w:t>
            </w:r>
            <w:r w:rsidR="001D0918" w:rsidRPr="00584929">
              <w:rPr>
                <w:rFonts w:ascii="Times New Roman" w:hAnsi="Times New Roman" w:cs="Times New Roman"/>
              </w:rPr>
              <w:t>r. w sprawie d</w:t>
            </w:r>
            <w:r w:rsidRPr="00584929">
              <w:rPr>
                <w:rFonts w:ascii="Times New Roman" w:hAnsi="Times New Roman" w:cs="Times New Roman"/>
              </w:rPr>
              <w:t>ostępu do informacji naukowej i </w:t>
            </w:r>
            <w:r w:rsidR="001D0918" w:rsidRPr="00584929">
              <w:rPr>
                <w:rFonts w:ascii="Times New Roman" w:hAnsi="Times New Roman" w:cs="Times New Roman"/>
              </w:rPr>
              <w:t xml:space="preserve">jej ochrony (Zalecenie 2012/417/UE). </w:t>
            </w:r>
            <w:r w:rsidRPr="00584929">
              <w:rPr>
                <w:rFonts w:ascii="Times New Roman" w:hAnsi="Times New Roman" w:cs="Times New Roman"/>
              </w:rPr>
              <w:t>W </w:t>
            </w:r>
            <w:r w:rsidR="001D0918" w:rsidRPr="00584929">
              <w:rPr>
                <w:rFonts w:ascii="Times New Roman" w:hAnsi="Times New Roman" w:cs="Times New Roman"/>
              </w:rPr>
              <w:t xml:space="preserve">dokumencie </w:t>
            </w:r>
            <w:r w:rsidRPr="00584929">
              <w:rPr>
                <w:rFonts w:ascii="Times New Roman" w:hAnsi="Times New Roman" w:cs="Times New Roman"/>
              </w:rPr>
              <w:t>tym (określającym strategiczne wytyczne oraz katalog działań w obszarze Open  Access w Polsce)</w:t>
            </w:r>
            <w:r w:rsidRPr="00584929">
              <w:rPr>
                <w:rFonts w:ascii="Times New Roman" w:hAnsi="Times New Roman" w:cs="Times New Roman"/>
                <w:b/>
              </w:rPr>
              <w:t xml:space="preserve"> </w:t>
            </w:r>
            <w:r w:rsidR="001D0918" w:rsidRPr="00584929">
              <w:rPr>
                <w:rFonts w:ascii="Times New Roman" w:hAnsi="Times New Roman" w:cs="Times New Roman"/>
              </w:rPr>
              <w:t>sformułowano zalecenia dotyczące wprowadzania otwartego dostępu przez podmioty finansujące badania, jednostki naukowe, uczelnie oraz wydawców. W zakresie danych badawczych Ministerstwo Nauki i Szkolnictwa Wyższego zaleci</w:t>
            </w:r>
            <w:r w:rsidRPr="00584929">
              <w:rPr>
                <w:rFonts w:ascii="Times New Roman" w:hAnsi="Times New Roman" w:cs="Times New Roman"/>
              </w:rPr>
              <w:t>ło ich „(...) udostępnianie  w  </w:t>
            </w:r>
            <w:r w:rsidR="001D0918" w:rsidRPr="00584929">
              <w:rPr>
                <w:rFonts w:ascii="Times New Roman" w:hAnsi="Times New Roman" w:cs="Times New Roman"/>
              </w:rPr>
              <w:t>ramach  otwartego dostępu z uwzględnieniem zasad zarządzania informacją, obejmujących przede  wszystkim  selekcjonowanie do publikacji  tylko  takich  danych  badawczych  lub tylko tak opracowanych, które nie spowodują naruszenia taje</w:t>
            </w:r>
            <w:r w:rsidRPr="00584929">
              <w:rPr>
                <w:rFonts w:ascii="Times New Roman" w:hAnsi="Times New Roman" w:cs="Times New Roman"/>
              </w:rPr>
              <w:t>mnic ani interesów związanych z </w:t>
            </w:r>
            <w:r w:rsidR="001D0918" w:rsidRPr="00584929">
              <w:rPr>
                <w:rFonts w:ascii="Times New Roman" w:hAnsi="Times New Roman" w:cs="Times New Roman"/>
              </w:rPr>
              <w:t>komercjalizacją”. W dokumencie podkreślono, że powszechny dostęp do wyników badań naukowych (w tym danych badawczych) finansowanych lub współfinansowanych ze środków publicznych powinien być ogólną zasadą, a stosowanie wyłączeń od tej zasady powinno wynikać z  istnienia obiektywnych i uzasadnionych przesłanek.</w:t>
            </w:r>
          </w:p>
          <w:p w14:paraId="5515DF78" w14:textId="3FE4498E" w:rsidR="001D0918" w:rsidRPr="00584929" w:rsidRDefault="00D04B6A" w:rsidP="00D04B6A">
            <w:pPr>
              <w:spacing w:line="259" w:lineRule="auto"/>
              <w:jc w:val="both"/>
              <w:rPr>
                <w:rFonts w:ascii="Times New Roman" w:hAnsi="Times New Roman" w:cs="Times New Roman"/>
              </w:rPr>
            </w:pPr>
            <w:r w:rsidRPr="00584929">
              <w:rPr>
                <w:rFonts w:ascii="Times New Roman" w:hAnsi="Times New Roman" w:cs="Times New Roman"/>
              </w:rPr>
              <w:t>Należy wyjaśnić, że</w:t>
            </w:r>
            <w:r w:rsidRPr="00584929">
              <w:rPr>
                <w:rFonts w:ascii="Times New Roman" w:hAnsi="Times New Roman" w:cs="Times New Roman"/>
                <w:b/>
              </w:rPr>
              <w:t xml:space="preserve"> </w:t>
            </w:r>
            <w:r w:rsidRPr="00584929">
              <w:rPr>
                <w:rFonts w:ascii="Times New Roman" w:hAnsi="Times New Roman" w:cs="Times New Roman"/>
              </w:rPr>
              <w:t>p</w:t>
            </w:r>
            <w:r w:rsidR="001D0918" w:rsidRPr="00584929">
              <w:rPr>
                <w:rFonts w:ascii="Times New Roman" w:hAnsi="Times New Roman" w:cs="Times New Roman"/>
              </w:rPr>
              <w:t>rzyjęcie dyrektywy 2019/1024/UE poprzedzone zostało przeglądem dotychczasowych przepisów regulujących ponowne wykorzystywanie. W celu zapewnienia spójności i</w:t>
            </w:r>
            <w:r w:rsidRPr="00584929">
              <w:rPr>
                <w:rFonts w:ascii="Times New Roman" w:hAnsi="Times New Roman" w:cs="Times New Roman"/>
              </w:rPr>
              <w:t> </w:t>
            </w:r>
            <w:r w:rsidR="001D0918" w:rsidRPr="00584929">
              <w:rPr>
                <w:rFonts w:ascii="Times New Roman" w:hAnsi="Times New Roman" w:cs="Times New Roman"/>
              </w:rPr>
              <w:t xml:space="preserve">komplementarności między unijnymi  politykami otwartych  danych i otwartego dostępu do zasobów nauki, równoległemu przeglądowi poddano obowiązujące wówczas Zalecenie Komisji Europejskiej 2012/417/UE z dnia 17 lipca 2012 r. </w:t>
            </w:r>
            <w:r w:rsidRPr="00584929">
              <w:rPr>
                <w:rFonts w:ascii="Times New Roman" w:hAnsi="Times New Roman" w:cs="Times New Roman"/>
              </w:rPr>
              <w:lastRenderedPageBreak/>
              <w:t>w </w:t>
            </w:r>
            <w:r w:rsidR="001D0918" w:rsidRPr="00584929">
              <w:rPr>
                <w:rFonts w:ascii="Times New Roman" w:hAnsi="Times New Roman" w:cs="Times New Roman"/>
              </w:rPr>
              <w:t>sprawie dostępu  do  informacji  naukowej  oraz  jej  ochrony.   W   Komunikacie   Komisji   Europejskiej   do   Parlamentu Europejskiego, Rady, Europejskiego Komitetu Ekonomiczno-Społeczneg</w:t>
            </w:r>
            <w:r w:rsidRPr="00584929">
              <w:rPr>
                <w:rFonts w:ascii="Times New Roman" w:hAnsi="Times New Roman" w:cs="Times New Roman"/>
              </w:rPr>
              <w:t>o i Komitetu Regionów z dnia 25 </w:t>
            </w:r>
            <w:r w:rsidR="001D0918" w:rsidRPr="00584929">
              <w:rPr>
                <w:rFonts w:ascii="Times New Roman" w:hAnsi="Times New Roman" w:cs="Times New Roman"/>
              </w:rPr>
              <w:t>kwietnia 2018 r. „W kierunku wspólnej europejskiej przestrzeni danych” (COM/2018/232) podkreślono, że celem tych działań było jednoczesne uwolnienie potencj</w:t>
            </w:r>
            <w:r w:rsidRPr="00584929">
              <w:rPr>
                <w:rFonts w:ascii="Times New Roman" w:hAnsi="Times New Roman" w:cs="Times New Roman"/>
              </w:rPr>
              <w:t>ału tkwiącego w ISP</w:t>
            </w:r>
            <w:r w:rsidR="001D0918" w:rsidRPr="00584929">
              <w:rPr>
                <w:rFonts w:ascii="Times New Roman" w:hAnsi="Times New Roman" w:cs="Times New Roman"/>
              </w:rPr>
              <w:t xml:space="preserve"> oraz w danych zbadań naukowych finansowanych ze środków publicznych. </w:t>
            </w:r>
            <w:r w:rsidRPr="00584929">
              <w:rPr>
                <w:rFonts w:ascii="Times New Roman" w:hAnsi="Times New Roman" w:cs="Times New Roman"/>
              </w:rPr>
              <w:t>Nowe zalecenie Komisji w </w:t>
            </w:r>
            <w:r w:rsidR="001D0918" w:rsidRPr="00584929">
              <w:rPr>
                <w:rFonts w:ascii="Times New Roman" w:hAnsi="Times New Roman" w:cs="Times New Roman"/>
              </w:rPr>
              <w:t>sprawie dostępu do informacji  naukowej  oraz  jej  ochrony  (Zalecenie  2018/790/UE  z  dnia  25  kwietnia  2018  r.),  zapewnia</w:t>
            </w:r>
            <w:r w:rsidRPr="00584929">
              <w:rPr>
                <w:rFonts w:ascii="Times New Roman" w:hAnsi="Times New Roman" w:cs="Times New Roman"/>
              </w:rPr>
              <w:t>ją</w:t>
            </w:r>
            <w:r w:rsidR="001D0918" w:rsidRPr="00584929">
              <w:rPr>
                <w:rFonts w:ascii="Times New Roman" w:hAnsi="Times New Roman" w:cs="Times New Roman"/>
              </w:rPr>
              <w:t xml:space="preserve"> wytyczne na temat realizacji otwart</w:t>
            </w:r>
            <w:r w:rsidRPr="00584929">
              <w:rPr>
                <w:rFonts w:ascii="Times New Roman" w:hAnsi="Times New Roman" w:cs="Times New Roman"/>
              </w:rPr>
              <w:t>ego dostępu do takich danych. W </w:t>
            </w:r>
            <w:r w:rsidR="001D0918" w:rsidRPr="00584929">
              <w:rPr>
                <w:rFonts w:ascii="Times New Roman" w:hAnsi="Times New Roman" w:cs="Times New Roman"/>
              </w:rPr>
              <w:t>dokumencie tym wskazano m.in. zasady „otwartości d</w:t>
            </w:r>
            <w:r w:rsidRPr="00584929">
              <w:rPr>
                <w:rFonts w:ascii="Times New Roman" w:hAnsi="Times New Roman" w:cs="Times New Roman"/>
              </w:rPr>
              <w:t>omyślnej” oraz „zasady FAIR”, o </w:t>
            </w:r>
            <w:r w:rsidR="001D0918" w:rsidRPr="00584929">
              <w:rPr>
                <w:rFonts w:ascii="Times New Roman" w:hAnsi="Times New Roman" w:cs="Times New Roman"/>
              </w:rPr>
              <w:t xml:space="preserve">których mowa w art. 10 </w:t>
            </w:r>
            <w:r w:rsidRPr="00584929">
              <w:rPr>
                <w:rFonts w:ascii="Times New Roman" w:hAnsi="Times New Roman" w:cs="Times New Roman"/>
              </w:rPr>
              <w:t>ust. 1 dyrektywy 2019/1024/U. Artykuł ten mówi o konieczność stworzenia polityki otwartego dostępu do danych badawczych</w:t>
            </w:r>
            <w:r w:rsidR="001D0918" w:rsidRPr="00584929">
              <w:rPr>
                <w:rFonts w:ascii="Times New Roman" w:hAnsi="Times New Roman" w:cs="Times New Roman"/>
              </w:rPr>
              <w:t xml:space="preserve"> </w:t>
            </w:r>
            <w:r w:rsidRPr="00584929">
              <w:rPr>
                <w:rFonts w:ascii="Times New Roman" w:hAnsi="Times New Roman" w:cs="Times New Roman"/>
              </w:rPr>
              <w:t xml:space="preserve">przez państwa członkowskie. Jego implementacje stanowi art. 23 projektu ustawy. </w:t>
            </w:r>
          </w:p>
        </w:tc>
      </w:tr>
      <w:tr w:rsidR="006D6263" w:rsidRPr="00584929" w14:paraId="5403B2D6" w14:textId="77777777" w:rsidTr="00D94ED7">
        <w:tc>
          <w:tcPr>
            <w:tcW w:w="676" w:type="dxa"/>
            <w:shd w:val="clear" w:color="auto" w:fill="auto"/>
          </w:tcPr>
          <w:p w14:paraId="62D8C3B5" w14:textId="00DFC5B5" w:rsidR="006D6263" w:rsidRPr="00584929" w:rsidRDefault="006D6263" w:rsidP="004A29FC">
            <w:pPr>
              <w:pStyle w:val="Akapitzlist"/>
              <w:numPr>
                <w:ilvl w:val="0"/>
                <w:numId w:val="20"/>
              </w:numPr>
              <w:rPr>
                <w:sz w:val="22"/>
                <w:szCs w:val="22"/>
              </w:rPr>
            </w:pPr>
          </w:p>
        </w:tc>
        <w:tc>
          <w:tcPr>
            <w:tcW w:w="1968" w:type="dxa"/>
            <w:shd w:val="clear" w:color="auto" w:fill="auto"/>
          </w:tcPr>
          <w:p w14:paraId="1399CB1E" w14:textId="77777777" w:rsidR="007F361B" w:rsidRPr="00584929" w:rsidRDefault="007F361B" w:rsidP="004A29FC">
            <w:pPr>
              <w:rPr>
                <w:rFonts w:ascii="Times New Roman" w:hAnsi="Times New Roman" w:cs="Times New Roman"/>
              </w:rPr>
            </w:pPr>
            <w:r w:rsidRPr="00584929">
              <w:rPr>
                <w:rFonts w:ascii="Times New Roman" w:hAnsi="Times New Roman" w:cs="Times New Roman"/>
              </w:rPr>
              <w:t>Ministerstwo Nauki i Szkolnictwa Wyższego</w:t>
            </w:r>
          </w:p>
          <w:p w14:paraId="30D8D64A" w14:textId="77777777" w:rsidR="006D6263" w:rsidRPr="00584929" w:rsidRDefault="006D6263" w:rsidP="004A29FC">
            <w:pPr>
              <w:rPr>
                <w:rFonts w:ascii="Times New Roman" w:hAnsi="Times New Roman" w:cs="Times New Roman"/>
              </w:rPr>
            </w:pPr>
          </w:p>
        </w:tc>
        <w:tc>
          <w:tcPr>
            <w:tcW w:w="1526" w:type="dxa"/>
            <w:shd w:val="clear" w:color="auto" w:fill="auto"/>
          </w:tcPr>
          <w:p w14:paraId="09A19F11" w14:textId="58B5E84B" w:rsidR="006D6263" w:rsidRPr="00584929" w:rsidRDefault="007F361B" w:rsidP="004A29FC">
            <w:pPr>
              <w:rPr>
                <w:rFonts w:ascii="Times New Roman" w:hAnsi="Times New Roman" w:cs="Times New Roman"/>
              </w:rPr>
            </w:pPr>
            <w:r w:rsidRPr="00584929">
              <w:rPr>
                <w:rFonts w:ascii="Times New Roman" w:hAnsi="Times New Roman" w:cs="Times New Roman"/>
              </w:rPr>
              <w:t>Art. 23</w:t>
            </w:r>
          </w:p>
        </w:tc>
        <w:tc>
          <w:tcPr>
            <w:tcW w:w="5323" w:type="dxa"/>
            <w:shd w:val="clear" w:color="auto" w:fill="auto"/>
          </w:tcPr>
          <w:p w14:paraId="5AC76265" w14:textId="77777777" w:rsidR="007F361B" w:rsidRPr="00584929" w:rsidRDefault="007F361B" w:rsidP="00FD5309">
            <w:pPr>
              <w:jc w:val="both"/>
              <w:rPr>
                <w:rFonts w:ascii="Times New Roman" w:hAnsi="Times New Roman" w:cs="Times New Roman"/>
              </w:rPr>
            </w:pPr>
            <w:r w:rsidRPr="00584929">
              <w:rPr>
                <w:rFonts w:ascii="Times New Roman" w:hAnsi="Times New Roman" w:cs="Times New Roman"/>
              </w:rPr>
              <w:t>W projekcie ustawy nie jest podany termin przyjęcia opisanej polityki.</w:t>
            </w:r>
          </w:p>
          <w:p w14:paraId="185FFBE9" w14:textId="005BEEC0" w:rsidR="007F361B" w:rsidRPr="00584929" w:rsidRDefault="007F361B" w:rsidP="00FD5309">
            <w:pPr>
              <w:jc w:val="both"/>
              <w:rPr>
                <w:rFonts w:ascii="Times New Roman" w:hAnsi="Times New Roman" w:cs="Times New Roman"/>
              </w:rPr>
            </w:pPr>
            <w:r w:rsidRPr="00584929">
              <w:rPr>
                <w:rFonts w:ascii="Times New Roman" w:hAnsi="Times New Roman" w:cs="Times New Roman"/>
              </w:rPr>
              <w:t>Biorąc pod uwagę, że w celu ustalenia polityki otwartego dostępu do danych badawczych należy uwzględnić Program Otwierania Danych, to należałoby przewidzieć w projekcie przepisy przejściowe umożliwiające przyjęcie w pewnym okresie po wejściu w życie ustawy ww. programu, a następnie w pewnym odstępie czasowym ww. polityki.</w:t>
            </w:r>
          </w:p>
        </w:tc>
        <w:tc>
          <w:tcPr>
            <w:tcW w:w="4785" w:type="dxa"/>
            <w:shd w:val="clear" w:color="auto" w:fill="auto"/>
          </w:tcPr>
          <w:p w14:paraId="12AD538A" w14:textId="0F29C24E" w:rsidR="006D6263" w:rsidRPr="00584929" w:rsidRDefault="007F361B" w:rsidP="004A29FC">
            <w:pPr>
              <w:rPr>
                <w:rFonts w:ascii="Times New Roman" w:hAnsi="Times New Roman" w:cs="Times New Roman"/>
                <w:b/>
              </w:rPr>
            </w:pPr>
            <w:r w:rsidRPr="00584929">
              <w:rPr>
                <w:rFonts w:ascii="Times New Roman" w:hAnsi="Times New Roman" w:cs="Times New Roman"/>
                <w:b/>
              </w:rPr>
              <w:t xml:space="preserve">Uwaga </w:t>
            </w:r>
            <w:r w:rsidR="00E63337" w:rsidRPr="00584929">
              <w:rPr>
                <w:rFonts w:ascii="Times New Roman" w:hAnsi="Times New Roman" w:cs="Times New Roman"/>
                <w:b/>
              </w:rPr>
              <w:t xml:space="preserve">uwzględniona </w:t>
            </w:r>
          </w:p>
          <w:p w14:paraId="500FE228" w14:textId="1B3CB466" w:rsidR="00E63337" w:rsidRPr="00584929" w:rsidRDefault="00E63337" w:rsidP="00E63337">
            <w:pPr>
              <w:jc w:val="both"/>
              <w:rPr>
                <w:rFonts w:ascii="Times New Roman" w:hAnsi="Times New Roman" w:cs="Times New Roman"/>
              </w:rPr>
            </w:pPr>
            <w:r w:rsidRPr="00584929">
              <w:rPr>
                <w:rFonts w:ascii="Times New Roman" w:hAnsi="Times New Roman" w:cs="Times New Roman"/>
              </w:rPr>
              <w:t xml:space="preserve">Właściwy przepis zostanie dodany do projektu ustawy. </w:t>
            </w:r>
          </w:p>
          <w:p w14:paraId="1E6AA2D6" w14:textId="77777777" w:rsidR="007B5690" w:rsidRPr="00584929" w:rsidRDefault="007B5690" w:rsidP="004A29FC">
            <w:pPr>
              <w:rPr>
                <w:rFonts w:ascii="Times New Roman" w:hAnsi="Times New Roman" w:cs="Times New Roman"/>
              </w:rPr>
            </w:pPr>
          </w:p>
          <w:p w14:paraId="354FDDFB" w14:textId="127F43AC" w:rsidR="007B5690" w:rsidRPr="00584929" w:rsidRDefault="007B5690" w:rsidP="004A29FC">
            <w:pPr>
              <w:rPr>
                <w:rFonts w:ascii="Times New Roman" w:hAnsi="Times New Roman" w:cs="Times New Roman"/>
              </w:rPr>
            </w:pPr>
          </w:p>
        </w:tc>
      </w:tr>
      <w:tr w:rsidR="006D6263" w:rsidRPr="00584929" w14:paraId="3F1DBE61" w14:textId="77777777" w:rsidTr="00D94ED7">
        <w:tc>
          <w:tcPr>
            <w:tcW w:w="676" w:type="dxa"/>
            <w:shd w:val="clear" w:color="auto" w:fill="auto"/>
          </w:tcPr>
          <w:p w14:paraId="590F8DA5"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44B9E56F" w14:textId="188D64DB" w:rsidR="006D6263" w:rsidRPr="00584929" w:rsidRDefault="007F361B"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2AA39BC8" w14:textId="3E64EFDC" w:rsidR="006D6263" w:rsidRPr="00584929" w:rsidRDefault="007F361B" w:rsidP="004A29FC">
            <w:pPr>
              <w:rPr>
                <w:rFonts w:ascii="Times New Roman" w:hAnsi="Times New Roman" w:cs="Times New Roman"/>
              </w:rPr>
            </w:pPr>
            <w:r w:rsidRPr="00584929">
              <w:rPr>
                <w:rFonts w:ascii="Times New Roman" w:hAnsi="Times New Roman" w:cs="Times New Roman"/>
              </w:rPr>
              <w:t>Art. 23</w:t>
            </w:r>
          </w:p>
        </w:tc>
        <w:tc>
          <w:tcPr>
            <w:tcW w:w="5323" w:type="dxa"/>
            <w:shd w:val="clear" w:color="auto" w:fill="auto"/>
          </w:tcPr>
          <w:p w14:paraId="619C13EE" w14:textId="1B93C416" w:rsidR="007F361B" w:rsidRPr="00584929" w:rsidRDefault="007F361B" w:rsidP="00FD5309">
            <w:pPr>
              <w:jc w:val="both"/>
              <w:rPr>
                <w:rFonts w:ascii="Times New Roman" w:hAnsi="Times New Roman" w:cs="Times New Roman"/>
              </w:rPr>
            </w:pPr>
            <w:r w:rsidRPr="00584929">
              <w:rPr>
                <w:rFonts w:ascii="Times New Roman" w:hAnsi="Times New Roman" w:cs="Times New Roman"/>
              </w:rPr>
              <w:t xml:space="preserve">Art. 23 projektu ustawy – w związku z przygotowaniem polityki otwartego dostępu do danych badawczych, do </w:t>
            </w:r>
            <w:r w:rsidRPr="00584929">
              <w:rPr>
                <w:rFonts w:ascii="Times New Roman" w:hAnsi="Times New Roman" w:cs="Times New Roman"/>
              </w:rPr>
              <w:lastRenderedPageBreak/>
              <w:t xml:space="preserve">której przygotowania upoważnieni zostają ministrowie właściwi do spraw: nauki i szkolnictwa wyższego oraz informatyzacji należy zauważyć, że akt ten nie będzie miał charakteru aktu normatywnego, powstaje zatem pytanie o jego funkcję, zwłaszcza wobec podmiotów, o których mowa w </w:t>
            </w:r>
            <w:r w:rsidR="00FD5309" w:rsidRPr="00584929">
              <w:rPr>
                <w:rFonts w:ascii="Times New Roman" w:hAnsi="Times New Roman" w:cs="Times New Roman"/>
              </w:rPr>
              <w:t>art. 7 ustawy – Prawo o nauce i </w:t>
            </w:r>
            <w:r w:rsidRPr="00584929">
              <w:rPr>
                <w:rFonts w:ascii="Times New Roman" w:hAnsi="Times New Roman" w:cs="Times New Roman"/>
              </w:rPr>
              <w:t>szkolnictwie wyższym.</w:t>
            </w:r>
          </w:p>
        </w:tc>
        <w:tc>
          <w:tcPr>
            <w:tcW w:w="4785" w:type="dxa"/>
            <w:shd w:val="clear" w:color="auto" w:fill="auto"/>
          </w:tcPr>
          <w:p w14:paraId="3E42A4B8" w14:textId="77777777" w:rsidR="006D6263" w:rsidRPr="00584929" w:rsidRDefault="00E63337" w:rsidP="004A29FC">
            <w:pPr>
              <w:rPr>
                <w:rFonts w:ascii="Times New Roman" w:hAnsi="Times New Roman" w:cs="Times New Roman"/>
                <w:b/>
              </w:rPr>
            </w:pPr>
            <w:r w:rsidRPr="00584929">
              <w:rPr>
                <w:rFonts w:ascii="Times New Roman" w:hAnsi="Times New Roman" w:cs="Times New Roman"/>
                <w:b/>
              </w:rPr>
              <w:lastRenderedPageBreak/>
              <w:t>Uwaga uwzględniona kierunkowo</w:t>
            </w:r>
          </w:p>
          <w:p w14:paraId="6859815C" w14:textId="77777777" w:rsidR="00E63337" w:rsidRPr="00584929" w:rsidRDefault="00E63337" w:rsidP="00E63337">
            <w:pPr>
              <w:jc w:val="both"/>
              <w:rPr>
                <w:rFonts w:ascii="Times New Roman" w:hAnsi="Times New Roman" w:cs="Times New Roman"/>
              </w:rPr>
            </w:pPr>
            <w:r w:rsidRPr="00584929">
              <w:rPr>
                <w:rFonts w:ascii="Times New Roman" w:hAnsi="Times New Roman" w:cs="Times New Roman"/>
              </w:rPr>
              <w:lastRenderedPageBreak/>
              <w:t>Przepis zostanie zmieniony poprzez sprecyzowanie podmiotów, do których polityka otwartego dostępu do danych badawczych będzie kierowana. Wybór rodzaju instrumentu pozostaje po stronie MNiSW.</w:t>
            </w:r>
          </w:p>
          <w:p w14:paraId="4CC48DF9" w14:textId="77777777" w:rsidR="00E63337" w:rsidRPr="00584929" w:rsidRDefault="00E63337" w:rsidP="00E63337">
            <w:pPr>
              <w:jc w:val="both"/>
              <w:rPr>
                <w:rFonts w:ascii="Times New Roman" w:hAnsi="Times New Roman" w:cs="Times New Roman"/>
              </w:rPr>
            </w:pPr>
          </w:p>
          <w:p w14:paraId="2B876459" w14:textId="77777777" w:rsidR="00E63337" w:rsidRPr="00584929" w:rsidRDefault="00E63337" w:rsidP="00E63337">
            <w:pPr>
              <w:jc w:val="both"/>
              <w:rPr>
                <w:rFonts w:ascii="Times New Roman" w:hAnsi="Times New Roman" w:cs="Times New Roman"/>
              </w:rPr>
            </w:pPr>
            <w:r w:rsidRPr="00584929">
              <w:rPr>
                <w:rFonts w:ascii="Times New Roman" w:hAnsi="Times New Roman" w:cs="Times New Roman"/>
              </w:rPr>
              <w:t xml:space="preserve">Dodatkowe wyjaśnienia: </w:t>
            </w:r>
          </w:p>
          <w:p w14:paraId="04216A7A" w14:textId="77777777" w:rsidR="00E63337" w:rsidRPr="00584929" w:rsidRDefault="00E63337" w:rsidP="00E63337">
            <w:pPr>
              <w:jc w:val="both"/>
              <w:rPr>
                <w:rFonts w:ascii="Times New Roman" w:hAnsi="Times New Roman" w:cs="Times New Roman"/>
              </w:rPr>
            </w:pPr>
            <w:r w:rsidRPr="00584929">
              <w:rPr>
                <w:rFonts w:ascii="Times New Roman" w:hAnsi="Times New Roman" w:cs="Times New Roman"/>
              </w:rPr>
              <w:t>Zgodnie z art. art. 10 ust. 1 dyrektywy 2019/1024/UE państwa członkowskie wspierają dostępność danych  badawczych  poprzez przyjęcie polityki krajowej  oraz podejmowanie  odpowiednich działań mających  na  celu  zapewnienie powszechnej dostępności danych  badawczych finansowanych  ze  środków  publicznych  („polityka otwartego  dostępu”). Wspomnianą politykę otwartego  dostępu kieruje się do organizacji prowadzących badania naukowe i organizacji finansujących badania naukowe.</w:t>
            </w:r>
          </w:p>
          <w:p w14:paraId="10FE6A05" w14:textId="08E29A83" w:rsidR="00E63337" w:rsidRPr="00584929" w:rsidRDefault="00E63337" w:rsidP="00E63337">
            <w:pPr>
              <w:spacing w:line="259" w:lineRule="auto"/>
              <w:jc w:val="both"/>
              <w:rPr>
                <w:rFonts w:ascii="Times New Roman" w:hAnsi="Times New Roman" w:cs="Times New Roman"/>
              </w:rPr>
            </w:pPr>
            <w:r w:rsidRPr="00584929">
              <w:rPr>
                <w:rFonts w:ascii="Times New Roman" w:hAnsi="Times New Roman" w:cs="Times New Roman"/>
              </w:rPr>
              <w:t>Polityka otwartego dostępu do danych badawczych może być zatem kierowana do tych samych podmiotów jak już przyjęty przez MNiSW dokument „Kierunki rozwoju otwartego dostępu do publikacji i wyników badań naukowych w Polsce”</w:t>
            </w:r>
            <w:r w:rsidRPr="00584929">
              <w:rPr>
                <w:rStyle w:val="Odwoanieprzypisudolnego"/>
                <w:rFonts w:ascii="Times New Roman" w:hAnsi="Times New Roman" w:cs="Times New Roman"/>
              </w:rPr>
              <w:footnoteReference w:id="11"/>
            </w:r>
            <w:r w:rsidR="00C84837">
              <w:rPr>
                <w:rFonts w:ascii="Times New Roman" w:hAnsi="Times New Roman" w:cs="Times New Roman"/>
                <w:vertAlign w:val="superscript"/>
              </w:rPr>
              <w:t>)</w:t>
            </w:r>
            <w:r w:rsidRPr="00584929">
              <w:rPr>
                <w:rFonts w:ascii="Times New Roman" w:hAnsi="Times New Roman" w:cs="Times New Roman"/>
              </w:rPr>
              <w:t>. Dokument ten ma charakter zaleceń dotyczących wprowadzania otwartego dostępu przez podmioty finansujące badania (NCN, NCBR, MNiSW), jednostki naukowe, uczelnie oraz wydawców, w tym wydawców czasopism naukowych. W większości są to podmioty wskazane w art. 7 ust. 1 i 2 ustawy z dnia 20 lipca 2018 r. – Prawo o szkolnictwem wyższym i nauce (Dz. U. z 2020 r. poz. 85, z późn. zm.).</w:t>
            </w:r>
          </w:p>
          <w:p w14:paraId="0B35EEED" w14:textId="77777777" w:rsidR="00E63337" w:rsidRPr="00584929" w:rsidRDefault="00E63337" w:rsidP="00E63337">
            <w:pPr>
              <w:spacing w:line="259" w:lineRule="auto"/>
              <w:jc w:val="both"/>
              <w:rPr>
                <w:rFonts w:ascii="Times New Roman" w:hAnsi="Times New Roman" w:cs="Times New Roman"/>
                <w:b/>
              </w:rPr>
            </w:pPr>
            <w:r w:rsidRPr="00584929">
              <w:rPr>
                <w:rFonts w:ascii="Times New Roman" w:hAnsi="Times New Roman" w:cs="Times New Roman"/>
              </w:rPr>
              <w:lastRenderedPageBreak/>
              <w:t>Dokument „Kierunki rozwoju otwartego dostępu do publikacji i wyników badań naukowych  w  Polsce” została opracowany przez  Ministerstwo  Nauki  i Szkolnictwa Wyższego w podstawie rekomendacji wynikających z  obowiązującego ówcześnie Zalecenia Komisji Europejskiej z dnia 17 lipca 2012 r. w sprawie dostępu do informacji naukowej i jej ochrony (Zalecenie 2012/417/UE). W dokumencie tym (określającym strategiczne wytyczne oraz katalog działań w obszarze Open  Access w Polsce)</w:t>
            </w:r>
            <w:r w:rsidRPr="00584929">
              <w:rPr>
                <w:rFonts w:ascii="Times New Roman" w:hAnsi="Times New Roman" w:cs="Times New Roman"/>
                <w:b/>
              </w:rPr>
              <w:t xml:space="preserve"> </w:t>
            </w:r>
            <w:r w:rsidRPr="00584929">
              <w:rPr>
                <w:rFonts w:ascii="Times New Roman" w:hAnsi="Times New Roman" w:cs="Times New Roman"/>
              </w:rPr>
              <w:t>sformułowano zalecenia dotyczące wprowadzania otwartego dostępu przez podmioty finansujące badania, jednostki naukowe, uczelnie oraz wydawców. W zakresie danych badawczych Ministerstwo Nauki i Szkolnictwa Wyższego zaleciło ich „(...) udostępnianie  w  ramach  otwartego dostępu z uwzględnieniem zasad zarządzania informacją, obejmujących przede  wszystkim  selekcjonowanie do publikacji  tylko  takich  danych  badawczych  lub tylko tak opracowanych, które nie spowodują naruszenia tajemnic ani interesów związanych z komercjalizacją”. W dokumencie podkreślono, że powszechny dostęp do wyników badań naukowych (w tym danych badawczych) finansowanych lub współfinansowanych ze środków publicznych powinien być ogólną zasadą, a stosowanie wyłączeń od tej zasady powinno wynikać z  istnienia obiektywnych i uzasadnionych przesłanek.</w:t>
            </w:r>
          </w:p>
          <w:p w14:paraId="3BB58E38" w14:textId="2F1BBAE9" w:rsidR="00E63337" w:rsidRPr="00584929" w:rsidRDefault="00E63337" w:rsidP="00E63337">
            <w:pPr>
              <w:jc w:val="both"/>
              <w:rPr>
                <w:rFonts w:ascii="Times New Roman" w:hAnsi="Times New Roman" w:cs="Times New Roman"/>
                <w:b/>
              </w:rPr>
            </w:pPr>
            <w:r w:rsidRPr="00584929">
              <w:rPr>
                <w:rFonts w:ascii="Times New Roman" w:hAnsi="Times New Roman" w:cs="Times New Roman"/>
              </w:rPr>
              <w:t>Należy wyjaśnić, że</w:t>
            </w:r>
            <w:r w:rsidRPr="00584929">
              <w:rPr>
                <w:rFonts w:ascii="Times New Roman" w:hAnsi="Times New Roman" w:cs="Times New Roman"/>
                <w:b/>
              </w:rPr>
              <w:t xml:space="preserve"> </w:t>
            </w:r>
            <w:r w:rsidRPr="00584929">
              <w:rPr>
                <w:rFonts w:ascii="Times New Roman" w:hAnsi="Times New Roman" w:cs="Times New Roman"/>
              </w:rPr>
              <w:t xml:space="preserve">przyjęcie dyrektywy 2019/1024/UE poprzedzone zostało przeglądem dotychczasowych przepisów regulujących ponowne wykorzystywanie. W celu zapewnienia spójności </w:t>
            </w:r>
            <w:r w:rsidRPr="00584929">
              <w:rPr>
                <w:rFonts w:ascii="Times New Roman" w:hAnsi="Times New Roman" w:cs="Times New Roman"/>
              </w:rPr>
              <w:lastRenderedPageBreak/>
              <w:t>i komplementarności między unijnymi  politykami otwartych  danych i otwartego dostępu do zasobów nauki, równoległemu przeglądowi poddano obowiązujące wówczas Zalecenie Komisji Europejskiej 2012/417/UE z dnia 17 lipca 2012 r. w sprawie dostępu  do  informacji  naukowej  oraz  jej  ochrony.   W   Komunikacie   Komisji   Europejskiej   do   Parlamentu Europejskiego, Rady, Europejskiego Komitetu Ekonomiczno-Społecznego i Komitetu Regionów z dnia 25 kwietnia 2018 r. „W kierunku wspólnej europejskiej przestrzeni danych” (COM/2018/232) podkreślono, że celem tych działań było jednoczesne uwolnienie potencjału tkwiącego w ISP oraz w danych zbadań naukowych finansowanych ze środków publicznych. Nowe zalecenie Komisji w sprawie dostępu do informacji  naukowej  oraz  jej  ochrony  (Zalecenie  2018/790/UE  z  dnia  25  kwietnia  2018  r.),  zapewniają wytyczne na temat realizacji otwartego dostępu do takich danych. W dokumencie tym wskazano m.in. zasady „otwartości domyślnej” oraz „zasady FAIR”, o których mowa w art. 10 ust. 1 dyrektywy 2019/1024/U. Artykuł ten mówi o konieczność stworzenia polityki otwartego dostępu do danych badawczych przez państwa członkowskie. Jego implementacje stanowi art. 23 projektu ustawy.</w:t>
            </w:r>
          </w:p>
        </w:tc>
      </w:tr>
      <w:tr w:rsidR="003913A1" w:rsidRPr="00584929" w14:paraId="3F7DF3A7" w14:textId="77777777" w:rsidTr="00D94ED7">
        <w:tc>
          <w:tcPr>
            <w:tcW w:w="676" w:type="dxa"/>
            <w:shd w:val="clear" w:color="auto" w:fill="auto"/>
          </w:tcPr>
          <w:p w14:paraId="13F66A81" w14:textId="77777777" w:rsidR="003913A1" w:rsidRPr="00584929" w:rsidRDefault="003913A1" w:rsidP="004A29FC">
            <w:pPr>
              <w:pStyle w:val="Akapitzlist"/>
              <w:numPr>
                <w:ilvl w:val="0"/>
                <w:numId w:val="20"/>
              </w:numPr>
              <w:rPr>
                <w:sz w:val="22"/>
                <w:szCs w:val="22"/>
              </w:rPr>
            </w:pPr>
          </w:p>
        </w:tc>
        <w:tc>
          <w:tcPr>
            <w:tcW w:w="1968" w:type="dxa"/>
            <w:shd w:val="clear" w:color="auto" w:fill="auto"/>
          </w:tcPr>
          <w:p w14:paraId="6F608850" w14:textId="15A9C211" w:rsidR="003913A1" w:rsidRPr="00584929" w:rsidRDefault="003913A1"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655A60C4" w14:textId="1A41D9C7" w:rsidR="003913A1" w:rsidRPr="00584929" w:rsidRDefault="003913A1" w:rsidP="004A29FC">
            <w:pPr>
              <w:rPr>
                <w:rFonts w:ascii="Times New Roman" w:hAnsi="Times New Roman" w:cs="Times New Roman"/>
              </w:rPr>
            </w:pPr>
            <w:r w:rsidRPr="00584929">
              <w:rPr>
                <w:rFonts w:ascii="Times New Roman" w:hAnsi="Times New Roman" w:cs="Times New Roman"/>
              </w:rPr>
              <w:t>Art. 26</w:t>
            </w:r>
          </w:p>
        </w:tc>
        <w:tc>
          <w:tcPr>
            <w:tcW w:w="5323" w:type="dxa"/>
            <w:shd w:val="clear" w:color="auto" w:fill="auto"/>
          </w:tcPr>
          <w:p w14:paraId="573F3B35" w14:textId="218B9B09" w:rsidR="003913A1" w:rsidRPr="00584929" w:rsidRDefault="003913A1" w:rsidP="00FD5309">
            <w:pPr>
              <w:jc w:val="both"/>
              <w:rPr>
                <w:rFonts w:ascii="Times New Roman" w:hAnsi="Times New Roman" w:cs="Times New Roman"/>
              </w:rPr>
            </w:pPr>
            <w:r w:rsidRPr="00584929">
              <w:rPr>
                <w:rFonts w:ascii="Times New Roman" w:hAnsi="Times New Roman" w:cs="Times New Roman"/>
              </w:rPr>
              <w:t xml:space="preserve">Upoważnienie ustawowe zawarte w art. 26 wymaga weryfikacji na etapie przygotowaniu aktu wykonawczego, gdyż wskazuje w rozporządzeniu minister właściwy określi jedynie „sposób udostępniania danych”, podczas gdy pozostała treść upoważnienia wskazuje, że możliwe jest, że do uregulowania pozostaną także niektóre elementy trybu udostępniania, ponadto nieprecyzyjne wydaje się sformułowanie „możliwe warunki ponownego </w:t>
            </w:r>
            <w:r w:rsidRPr="00584929">
              <w:rPr>
                <w:rFonts w:ascii="Times New Roman" w:hAnsi="Times New Roman" w:cs="Times New Roman"/>
              </w:rPr>
              <w:lastRenderedPageBreak/>
              <w:t>wykorzystania”, powstaje pytanie czy chodzi o warunki przykładowe czy szczegółowe?</w:t>
            </w:r>
          </w:p>
        </w:tc>
        <w:tc>
          <w:tcPr>
            <w:tcW w:w="4785" w:type="dxa"/>
            <w:shd w:val="clear" w:color="auto" w:fill="auto"/>
          </w:tcPr>
          <w:p w14:paraId="77BDADA7" w14:textId="77777777" w:rsidR="00E63337" w:rsidRPr="00584929" w:rsidRDefault="003913A1" w:rsidP="00E63337">
            <w:pPr>
              <w:rPr>
                <w:rFonts w:ascii="Times New Roman" w:hAnsi="Times New Roman" w:cs="Times New Roman"/>
                <w:b/>
              </w:rPr>
            </w:pPr>
            <w:r w:rsidRPr="00584929">
              <w:rPr>
                <w:rFonts w:ascii="Times New Roman" w:hAnsi="Times New Roman" w:cs="Times New Roman"/>
                <w:b/>
              </w:rPr>
              <w:lastRenderedPageBreak/>
              <w:t xml:space="preserve">Uwaga </w:t>
            </w:r>
            <w:r w:rsidR="00E63337" w:rsidRPr="00584929">
              <w:rPr>
                <w:rFonts w:ascii="Times New Roman" w:hAnsi="Times New Roman" w:cs="Times New Roman"/>
                <w:b/>
              </w:rPr>
              <w:t>wyjaśniona</w:t>
            </w:r>
          </w:p>
          <w:p w14:paraId="32D9E62C" w14:textId="4EA2691D" w:rsidR="00E63337" w:rsidRPr="00584929" w:rsidRDefault="00E63337" w:rsidP="00E63337">
            <w:pPr>
              <w:jc w:val="both"/>
              <w:rPr>
                <w:rFonts w:ascii="Times New Roman" w:hAnsi="Times New Roman" w:cs="Times New Roman"/>
              </w:rPr>
            </w:pPr>
            <w:r w:rsidRPr="00584929">
              <w:rPr>
                <w:rFonts w:ascii="Times New Roman" w:hAnsi="Times New Roman" w:cs="Times New Roman"/>
              </w:rPr>
              <w:t xml:space="preserve">W art. 26 projektu ustawy wprowadzono upoważnienie do wydania rozporządzenia, w którym minister właściwy do spraw informatyzacji (mając na względzie wykaz ustanowiony w akcie wykonawczym Komisji Europejskiej), określi odrębnie dla poszczególnych podmiotów zobowiązanych listę, będących w ich </w:t>
            </w:r>
            <w:r w:rsidRPr="00584929">
              <w:rPr>
                <w:rFonts w:ascii="Times New Roman" w:hAnsi="Times New Roman" w:cs="Times New Roman"/>
              </w:rPr>
              <w:lastRenderedPageBreak/>
              <w:t xml:space="preserve">posiadaniu, danych o wysokiej wartości (mając na uwadze kategorie tematyczne wskazane </w:t>
            </w:r>
            <w:r w:rsidR="00C44596" w:rsidRPr="00584929">
              <w:rPr>
                <w:rFonts w:ascii="Times New Roman" w:hAnsi="Times New Roman" w:cs="Times New Roman"/>
              </w:rPr>
              <w:t>w załączniku I do dyrektywy 2019/1024/UE</w:t>
            </w:r>
            <w:r w:rsidRPr="00584929">
              <w:rPr>
                <w:rFonts w:ascii="Times New Roman" w:hAnsi="Times New Roman" w:cs="Times New Roman"/>
              </w:rPr>
              <w:t xml:space="preserve">). </w:t>
            </w:r>
          </w:p>
          <w:p w14:paraId="4568ECA4" w14:textId="7E2CC6D8" w:rsidR="00873D2A" w:rsidRPr="00873D2A" w:rsidRDefault="00E63337" w:rsidP="00873D2A">
            <w:pPr>
              <w:jc w:val="both"/>
              <w:rPr>
                <w:rFonts w:ascii="Times New Roman" w:hAnsi="Times New Roman" w:cs="Times New Roman"/>
              </w:rPr>
            </w:pPr>
            <w:r w:rsidRPr="00584929">
              <w:rPr>
                <w:rFonts w:ascii="Times New Roman" w:hAnsi="Times New Roman" w:cs="Times New Roman"/>
              </w:rPr>
              <w:t>Należy wyjaśn</w:t>
            </w:r>
            <w:r w:rsidR="00873D2A">
              <w:rPr>
                <w:rFonts w:ascii="Times New Roman" w:hAnsi="Times New Roman" w:cs="Times New Roman"/>
              </w:rPr>
              <w:t xml:space="preserve">ić, że przepis art. 26 projektu </w:t>
            </w:r>
            <w:r w:rsidR="00873D2A" w:rsidRPr="00873D2A">
              <w:rPr>
                <w:rFonts w:ascii="Times New Roman" w:hAnsi="Times New Roman" w:cs="Times New Roman"/>
              </w:rPr>
              <w:t>zostanie zmieniony. W miejsce upoważnienia dla ministra właściwego do spraw informatyzacji do wydania jednego ro</w:t>
            </w:r>
            <w:r w:rsidR="00873D2A">
              <w:rPr>
                <w:rFonts w:ascii="Times New Roman" w:hAnsi="Times New Roman" w:cs="Times New Roman"/>
              </w:rPr>
              <w:t>zporządzenia w sprawie danych o </w:t>
            </w:r>
            <w:r w:rsidR="00873D2A" w:rsidRPr="00873D2A">
              <w:rPr>
                <w:rFonts w:ascii="Times New Roman" w:hAnsi="Times New Roman" w:cs="Times New Roman"/>
              </w:rPr>
              <w:t>wysokiej wartości, wprowadzonych zostanie kilka upoważnień dla poszczególnych ministrów właściwych ze względu na zasoby danych mieszczące się w kategoriach tematycznych wskazanych w załączniku I do dyrektywy 2019/1024/UE. Co do zasady każdy z właściwych ministrów wydawać będzie rozporządzenie dotyczące zasobów danych o wysokiej wartości (przy współuczestnictwie ministra właściwego do spraw informatyzacji) z określonej kategorii tematycznej. Wyjątek dotyczy kategorii tematycznej dane statystyczne. W tym przypadku rozporządzenie wydawać będzie minister właściwy do spraw informatyzacji po zasięgnięciu opinii Prezesa Głównego Urzędu Statycznego. Elementy rozporządzeń co do zasady pozostaną bez zmian.</w:t>
            </w:r>
          </w:p>
          <w:p w14:paraId="3898A254" w14:textId="4760E921" w:rsidR="00E63337" w:rsidRPr="00584929" w:rsidRDefault="00E63337" w:rsidP="00C44596">
            <w:pPr>
              <w:jc w:val="both"/>
              <w:rPr>
                <w:rFonts w:ascii="Times New Roman" w:hAnsi="Times New Roman" w:cs="Times New Roman"/>
              </w:rPr>
            </w:pPr>
            <w:r w:rsidRPr="00584929">
              <w:rPr>
                <w:rFonts w:ascii="Times New Roman" w:hAnsi="Times New Roman" w:cs="Times New Roman"/>
              </w:rPr>
              <w:t>Elementy rozporządzeń co do zasady pozostaną bez zmian.</w:t>
            </w:r>
            <w:r w:rsidR="00C44596" w:rsidRPr="00584929">
              <w:rPr>
                <w:rFonts w:ascii="Times New Roman" w:hAnsi="Times New Roman" w:cs="Times New Roman"/>
              </w:rPr>
              <w:t xml:space="preserve"> Uregulowane w nich zostanie </w:t>
            </w:r>
            <w:r w:rsidRPr="00584929">
              <w:rPr>
                <w:rFonts w:ascii="Times New Roman" w:hAnsi="Times New Roman" w:cs="Times New Roman"/>
              </w:rPr>
              <w:t>szereg kwestii, tj. harmonogram udostępniania danych, sposób ich udostępniania, a także formaty danych,</w:t>
            </w:r>
            <w:r w:rsidRPr="00584929">
              <w:t xml:space="preserve"> </w:t>
            </w:r>
            <w:r w:rsidRPr="00584929">
              <w:rPr>
                <w:rFonts w:ascii="Times New Roman" w:hAnsi="Times New Roman" w:cs="Times New Roman"/>
              </w:rPr>
              <w:t xml:space="preserve">możliwe warunki ponownego wykorzystywania oraz częstotliwość aktualizacji udostępnianych danych.     </w:t>
            </w:r>
          </w:p>
          <w:p w14:paraId="6F8791B8" w14:textId="77777777" w:rsidR="00A36726" w:rsidRPr="00584929" w:rsidRDefault="00E63337" w:rsidP="00A36726">
            <w:pPr>
              <w:spacing w:line="259" w:lineRule="auto"/>
              <w:jc w:val="both"/>
              <w:rPr>
                <w:rFonts w:ascii="Times New Roman" w:hAnsi="Times New Roman" w:cs="Times New Roman"/>
              </w:rPr>
            </w:pPr>
            <w:r w:rsidRPr="00584929">
              <w:rPr>
                <w:rFonts w:ascii="Times New Roman" w:hAnsi="Times New Roman" w:cs="Times New Roman"/>
              </w:rPr>
              <w:t>Przez „sposób udostępniania” należy rozumieć sposób w jaki określony podmiot zobowiązany będzie zobligowany udostępniać posiadane dane.</w:t>
            </w:r>
            <w:r w:rsidR="00C44596" w:rsidRPr="00584929">
              <w:rPr>
                <w:rFonts w:ascii="Times New Roman" w:hAnsi="Times New Roman" w:cs="Times New Roman"/>
              </w:rPr>
              <w:t xml:space="preserve"> W </w:t>
            </w:r>
            <w:r w:rsidRPr="00584929">
              <w:rPr>
                <w:rFonts w:ascii="Times New Roman" w:hAnsi="Times New Roman" w:cs="Times New Roman"/>
              </w:rPr>
              <w:t>tym przy</w:t>
            </w:r>
            <w:r w:rsidR="00C44596" w:rsidRPr="00584929">
              <w:rPr>
                <w:rFonts w:ascii="Times New Roman" w:hAnsi="Times New Roman" w:cs="Times New Roman"/>
              </w:rPr>
              <w:t>padku chodzi przede wszystkim o </w:t>
            </w:r>
            <w:r w:rsidRPr="00584929">
              <w:rPr>
                <w:rFonts w:ascii="Times New Roman" w:hAnsi="Times New Roman" w:cs="Times New Roman"/>
              </w:rPr>
              <w:t xml:space="preserve">warunki jakimi będzie dysponował podmiot zobowiązany w zakresie infrastruktury technicznej </w:t>
            </w:r>
            <w:r w:rsidRPr="00584929">
              <w:rPr>
                <w:rFonts w:ascii="Times New Roman" w:hAnsi="Times New Roman" w:cs="Times New Roman"/>
              </w:rPr>
              <w:lastRenderedPageBreak/>
              <w:t xml:space="preserve">(system teleinformatyczny), a także możliwości przechowywania danych na portalu danych. Innymi słowy regulując sposób udostępniania, o którym mowa w </w:t>
            </w:r>
            <w:r w:rsidR="00C44596" w:rsidRPr="00584929">
              <w:rPr>
                <w:rFonts w:ascii="Times New Roman" w:hAnsi="Times New Roman" w:cs="Times New Roman"/>
              </w:rPr>
              <w:t>przepisie</w:t>
            </w:r>
            <w:r w:rsidRPr="00584929">
              <w:rPr>
                <w:rFonts w:ascii="Times New Roman" w:hAnsi="Times New Roman" w:cs="Times New Roman"/>
              </w:rPr>
              <w:t xml:space="preserve"> </w:t>
            </w:r>
            <w:r w:rsidR="00C44596" w:rsidRPr="00584929">
              <w:rPr>
                <w:rFonts w:ascii="Times New Roman" w:hAnsi="Times New Roman" w:cs="Times New Roman"/>
              </w:rPr>
              <w:t xml:space="preserve">właściwy </w:t>
            </w:r>
            <w:r w:rsidRPr="00584929">
              <w:rPr>
                <w:rFonts w:ascii="Times New Roman" w:hAnsi="Times New Roman" w:cs="Times New Roman"/>
              </w:rPr>
              <w:t>minister określi w jaki sposób (za pomocą jakich środków technicznych) będą udostępnia</w:t>
            </w:r>
            <w:r w:rsidR="00C44596" w:rsidRPr="00584929">
              <w:rPr>
                <w:rFonts w:ascii="Times New Roman" w:hAnsi="Times New Roman" w:cs="Times New Roman"/>
              </w:rPr>
              <w:t>ne</w:t>
            </w:r>
            <w:r w:rsidRPr="00584929">
              <w:rPr>
                <w:rFonts w:ascii="Times New Roman" w:hAnsi="Times New Roman" w:cs="Times New Roman"/>
              </w:rPr>
              <w:t xml:space="preserve"> dane. Czy np. miejscem udostępniania danych będzie po</w:t>
            </w:r>
            <w:r w:rsidR="00C44596" w:rsidRPr="00584929">
              <w:rPr>
                <w:rFonts w:ascii="Times New Roman" w:hAnsi="Times New Roman" w:cs="Times New Roman"/>
              </w:rPr>
              <w:t xml:space="preserve">rtal </w:t>
            </w:r>
            <w:r w:rsidRPr="00584929">
              <w:rPr>
                <w:rFonts w:ascii="Times New Roman" w:hAnsi="Times New Roman" w:cs="Times New Roman"/>
              </w:rPr>
              <w:t xml:space="preserve"> danych, czy też system teleinformatyczny podmiotu zobowiązanego. </w:t>
            </w:r>
            <w:r w:rsidR="00A36726" w:rsidRPr="00584929">
              <w:rPr>
                <w:rFonts w:ascii="Times New Roman" w:hAnsi="Times New Roman" w:cs="Times New Roman"/>
              </w:rPr>
              <w:t>Podkreślić przy tym należy, że t</w:t>
            </w:r>
            <w:r w:rsidRPr="00584929">
              <w:rPr>
                <w:rFonts w:ascii="Times New Roman" w:hAnsi="Times New Roman" w:cs="Times New Roman"/>
              </w:rPr>
              <w:t xml:space="preserve">o że BIP i </w:t>
            </w:r>
            <w:r w:rsidR="00A36726" w:rsidRPr="00584929">
              <w:rPr>
                <w:rFonts w:ascii="Times New Roman" w:hAnsi="Times New Roman" w:cs="Times New Roman"/>
              </w:rPr>
              <w:t>portal danych</w:t>
            </w:r>
            <w:r w:rsidRPr="00584929">
              <w:rPr>
                <w:rFonts w:ascii="Times New Roman" w:hAnsi="Times New Roman" w:cs="Times New Roman"/>
              </w:rPr>
              <w:t xml:space="preserve"> jest sposobem udostę</w:t>
            </w:r>
            <w:r w:rsidR="00A36726" w:rsidRPr="00584929">
              <w:rPr>
                <w:rFonts w:ascii="Times New Roman" w:hAnsi="Times New Roman" w:cs="Times New Roman"/>
              </w:rPr>
              <w:t>pnienia danych wynika wprost z</w:t>
            </w:r>
            <w:r w:rsidRPr="00584929">
              <w:rPr>
                <w:rFonts w:ascii="Times New Roman" w:hAnsi="Times New Roman" w:cs="Times New Roman"/>
              </w:rPr>
              <w:t xml:space="preserve"> brzmienia art. 5 </w:t>
            </w:r>
            <w:r w:rsidR="00A36726" w:rsidRPr="00584929">
              <w:rPr>
                <w:rFonts w:ascii="Times New Roman" w:hAnsi="Times New Roman" w:cs="Times New Roman"/>
              </w:rPr>
              <w:t xml:space="preserve">projektu ustawy. </w:t>
            </w:r>
          </w:p>
          <w:p w14:paraId="7497D293" w14:textId="1F97B2BB" w:rsidR="00A36726" w:rsidRPr="00584929" w:rsidRDefault="00A36726" w:rsidP="00A36726">
            <w:pPr>
              <w:spacing w:line="259" w:lineRule="auto"/>
              <w:jc w:val="both"/>
              <w:rPr>
                <w:rFonts w:ascii="Times New Roman" w:hAnsi="Times New Roman" w:cs="Times New Roman"/>
              </w:rPr>
            </w:pPr>
            <w:r w:rsidRPr="00584929">
              <w:rPr>
                <w:rFonts w:ascii="Times New Roman" w:hAnsi="Times New Roman" w:cs="Times New Roman"/>
              </w:rPr>
              <w:t>Właściwy m</w:t>
            </w:r>
            <w:r w:rsidR="00E63337" w:rsidRPr="00584929">
              <w:rPr>
                <w:rFonts w:ascii="Times New Roman" w:hAnsi="Times New Roman" w:cs="Times New Roman"/>
              </w:rPr>
              <w:t xml:space="preserve">inister </w:t>
            </w:r>
            <w:r w:rsidRPr="00584929">
              <w:rPr>
                <w:rFonts w:ascii="Times New Roman" w:hAnsi="Times New Roman" w:cs="Times New Roman"/>
              </w:rPr>
              <w:t xml:space="preserve">będzie </w:t>
            </w:r>
            <w:r w:rsidR="00E63337" w:rsidRPr="00584929">
              <w:rPr>
                <w:rFonts w:ascii="Times New Roman" w:hAnsi="Times New Roman" w:cs="Times New Roman"/>
              </w:rPr>
              <w:t>również upoważniony do określenia w rozporządzeniu możliwych warunków ponownego wykorzystywania danych. W tym przypadku chodzi o wskazanie warunków jakie podmiot zo</w:t>
            </w:r>
            <w:r w:rsidRPr="00584929">
              <w:rPr>
                <w:rFonts w:ascii="Times New Roman" w:hAnsi="Times New Roman" w:cs="Times New Roman"/>
              </w:rPr>
              <w:t>bowiązany będzie mógł ustalić w </w:t>
            </w:r>
            <w:r w:rsidR="00E63337" w:rsidRPr="00584929">
              <w:rPr>
                <w:rFonts w:ascii="Times New Roman" w:hAnsi="Times New Roman" w:cs="Times New Roman"/>
              </w:rPr>
              <w:t xml:space="preserve">przypadku udostępniania poszczególnych zbiorów danych o wysokiej wartości. Będą to wszelkie możliwe warunki </w:t>
            </w:r>
            <w:r w:rsidRPr="00584929">
              <w:rPr>
                <w:rFonts w:ascii="Times New Roman" w:hAnsi="Times New Roman" w:cs="Times New Roman"/>
              </w:rPr>
              <w:t xml:space="preserve">ponownego wykorzystywania </w:t>
            </w:r>
            <w:r w:rsidR="00E63337" w:rsidRPr="00584929">
              <w:rPr>
                <w:rFonts w:ascii="Times New Roman" w:hAnsi="Times New Roman" w:cs="Times New Roman"/>
              </w:rPr>
              <w:t xml:space="preserve">przewidziane przepisami </w:t>
            </w:r>
            <w:r w:rsidRPr="00584929">
              <w:rPr>
                <w:rFonts w:ascii="Times New Roman" w:hAnsi="Times New Roman" w:cs="Times New Roman"/>
              </w:rPr>
              <w:t xml:space="preserve">projektowanej ustawy, przy czym warunki te określone w danym </w:t>
            </w:r>
            <w:r w:rsidR="00E63337" w:rsidRPr="00584929">
              <w:rPr>
                <w:rFonts w:ascii="Times New Roman" w:hAnsi="Times New Roman" w:cs="Times New Roman"/>
              </w:rPr>
              <w:t xml:space="preserve">rozporządzeniu zdeterminowane typem/rodzajem </w:t>
            </w:r>
            <w:r w:rsidRPr="00584929">
              <w:rPr>
                <w:rFonts w:ascii="Times New Roman" w:hAnsi="Times New Roman" w:cs="Times New Roman"/>
              </w:rPr>
              <w:t>danych o wysokiej wartości.</w:t>
            </w:r>
          </w:p>
          <w:p w14:paraId="2FCF51B2" w14:textId="1DEDBA5E" w:rsidR="003913A1" w:rsidRPr="00584929" w:rsidRDefault="00E63337" w:rsidP="00A36726">
            <w:pPr>
              <w:spacing w:line="259" w:lineRule="auto"/>
              <w:jc w:val="both"/>
              <w:rPr>
                <w:rFonts w:ascii="Times New Roman" w:hAnsi="Times New Roman" w:cs="Times New Roman"/>
              </w:rPr>
            </w:pPr>
            <w:r w:rsidRPr="00584929">
              <w:rPr>
                <w:rFonts w:ascii="Times New Roman" w:hAnsi="Times New Roman" w:cs="Times New Roman"/>
              </w:rPr>
              <w:t xml:space="preserve">Inne kwestie, </w:t>
            </w:r>
            <w:r w:rsidR="00A36726" w:rsidRPr="00584929">
              <w:rPr>
                <w:rFonts w:ascii="Times New Roman" w:hAnsi="Times New Roman" w:cs="Times New Roman"/>
              </w:rPr>
              <w:t>które zostaną uregulowane w rozporządzeniu</w:t>
            </w:r>
            <w:r w:rsidRPr="00584929">
              <w:rPr>
                <w:rFonts w:ascii="Times New Roman" w:hAnsi="Times New Roman" w:cs="Times New Roman"/>
              </w:rPr>
              <w:t xml:space="preserve"> dotyczą natomiast szczegółowych warunków jakie podmiot zobowiązany będzie musiał spełnić w zakresie udostępnianych danych, tj. harmonogramu udostępniania danych, formatów danych oraz częstotliwości ich udostępniania.</w:t>
            </w:r>
          </w:p>
        </w:tc>
      </w:tr>
      <w:tr w:rsidR="006D6263" w:rsidRPr="00584929" w14:paraId="7FB9B94C" w14:textId="77777777" w:rsidTr="00D94ED7">
        <w:tc>
          <w:tcPr>
            <w:tcW w:w="676" w:type="dxa"/>
            <w:shd w:val="clear" w:color="auto" w:fill="auto"/>
          </w:tcPr>
          <w:p w14:paraId="20A1F907"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00DB3A6B" w14:textId="60B92519" w:rsidR="006D6263" w:rsidRPr="00584929" w:rsidRDefault="003913A1"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4174A32D" w14:textId="61C5B2AF" w:rsidR="006D6263" w:rsidRPr="00584929" w:rsidRDefault="0045125A" w:rsidP="004A29FC">
            <w:pPr>
              <w:rPr>
                <w:rFonts w:ascii="Times New Roman" w:hAnsi="Times New Roman" w:cs="Times New Roman"/>
                <w:lang w:val="en-GB"/>
              </w:rPr>
            </w:pPr>
            <w:r w:rsidRPr="00584929">
              <w:rPr>
                <w:rFonts w:ascii="Times New Roman" w:hAnsi="Times New Roman" w:cs="Times New Roman"/>
                <w:lang w:val="en-GB"/>
              </w:rPr>
              <w:t>A</w:t>
            </w:r>
            <w:r w:rsidR="003913A1" w:rsidRPr="00584929">
              <w:rPr>
                <w:rFonts w:ascii="Times New Roman" w:hAnsi="Times New Roman" w:cs="Times New Roman"/>
                <w:lang w:val="en-GB"/>
              </w:rPr>
              <w:t>rt. 26 pkt 1 lit. e</w:t>
            </w:r>
          </w:p>
          <w:p w14:paraId="32A4C898" w14:textId="77777777" w:rsidR="003913A1" w:rsidRPr="00584929" w:rsidRDefault="003913A1" w:rsidP="004A29FC">
            <w:pPr>
              <w:rPr>
                <w:rFonts w:ascii="Times New Roman" w:hAnsi="Times New Roman" w:cs="Times New Roman"/>
                <w:lang w:val="en-GB"/>
              </w:rPr>
            </w:pPr>
          </w:p>
          <w:p w14:paraId="755CC92D" w14:textId="75BBC161" w:rsidR="003913A1" w:rsidRPr="00584929" w:rsidRDefault="0045125A" w:rsidP="004A29FC">
            <w:pPr>
              <w:rPr>
                <w:rFonts w:ascii="Times New Roman" w:hAnsi="Times New Roman" w:cs="Times New Roman"/>
                <w:lang w:val="en-GB"/>
              </w:rPr>
            </w:pPr>
            <w:r w:rsidRPr="00584929">
              <w:rPr>
                <w:rFonts w:ascii="Times New Roman" w:hAnsi="Times New Roman" w:cs="Times New Roman"/>
                <w:lang w:val="en-GB"/>
              </w:rPr>
              <w:t>[MS - a</w:t>
            </w:r>
            <w:r w:rsidR="007E38C2" w:rsidRPr="00584929">
              <w:rPr>
                <w:rFonts w:ascii="Times New Roman" w:hAnsi="Times New Roman" w:cs="Times New Roman"/>
                <w:lang w:val="en-GB"/>
              </w:rPr>
              <w:t>rt. 29 pkt 1 lit. e</w:t>
            </w:r>
            <w:r w:rsidRPr="00584929">
              <w:rPr>
                <w:rFonts w:ascii="Times New Roman" w:hAnsi="Times New Roman" w:cs="Times New Roman"/>
                <w:lang w:val="en-GB"/>
              </w:rPr>
              <w:t>]</w:t>
            </w:r>
          </w:p>
        </w:tc>
        <w:tc>
          <w:tcPr>
            <w:tcW w:w="5323" w:type="dxa"/>
            <w:shd w:val="clear" w:color="auto" w:fill="auto"/>
          </w:tcPr>
          <w:p w14:paraId="039EA6EF" w14:textId="0990FA92" w:rsidR="006D6263" w:rsidRPr="00584929" w:rsidRDefault="003913A1" w:rsidP="00FD5309">
            <w:pPr>
              <w:jc w:val="both"/>
              <w:rPr>
                <w:rFonts w:ascii="Times New Roman" w:hAnsi="Times New Roman" w:cs="Times New Roman"/>
              </w:rPr>
            </w:pPr>
            <w:r w:rsidRPr="00584929">
              <w:rPr>
                <w:rFonts w:ascii="Times New Roman" w:hAnsi="Times New Roman" w:cs="Times New Roman"/>
              </w:rPr>
              <w:lastRenderedPageBreak/>
              <w:t>Art. 29 pkt 1 lit. e [</w:t>
            </w:r>
            <w:r w:rsidR="00CA0505" w:rsidRPr="00584929">
              <w:rPr>
                <w:rFonts w:ascii="Times New Roman" w:hAnsi="Times New Roman" w:cs="Times New Roman"/>
              </w:rPr>
              <w:t xml:space="preserve">chodzi o </w:t>
            </w:r>
            <w:r w:rsidRPr="00584929">
              <w:rPr>
                <w:rFonts w:ascii="Times New Roman" w:hAnsi="Times New Roman" w:cs="Times New Roman"/>
              </w:rPr>
              <w:t xml:space="preserve">art. 26 pkt 1 lit. e] projektu zawiera delegację ministra właściwego do spraw </w:t>
            </w:r>
            <w:r w:rsidRPr="00584929">
              <w:rPr>
                <w:rFonts w:ascii="Times New Roman" w:hAnsi="Times New Roman" w:cs="Times New Roman"/>
              </w:rPr>
              <w:lastRenderedPageBreak/>
              <w:t>informatyzacji do wydania rozporządzenia, w którym odrębnie dla poszczególnych podmiotów zobowiązanych określenie listy będących w posiadaniu tych podmiotów danych o wysokiej wartości w kategorii danych dotyczących przedsiębiorstw i ich własności. Projektowany przepis ma zrealizować w krajowym porządku prawnym wykaz ustanowiony przez Komisję Europejską na podstawie art. 14 ust 1 dyrektywy Parlamentu Europejskiego i Rady 2019/1024/UE z dnia 20 czerwca 2019 r. w sprawie otwartych danych i ponownego wykorzystania informacji sektora publicznego. Jak wskazują przeprowadzone analizy w zakresie danych dotyczących przedsiębiorstw wpisanych do rejestru przedsiębiorców KRS, dane</w:t>
            </w:r>
            <w:r w:rsidR="00FD5309" w:rsidRPr="00584929">
              <w:rPr>
                <w:rFonts w:ascii="Times New Roman" w:hAnsi="Times New Roman" w:cs="Times New Roman"/>
              </w:rPr>
              <w:t xml:space="preserve"> te powinny być kwalifikowane i </w:t>
            </w:r>
            <w:r w:rsidRPr="00584929">
              <w:rPr>
                <w:rFonts w:ascii="Times New Roman" w:hAnsi="Times New Roman" w:cs="Times New Roman"/>
              </w:rPr>
              <w:t>rozumiane zgodnie z zasadami ich gromadzenia w KRS. Powierzanie ministrowi właściwemu do spraw cyfryzacji kompetencji do kwal</w:t>
            </w:r>
            <w:r w:rsidR="00FD5309" w:rsidRPr="00584929">
              <w:rPr>
                <w:rFonts w:ascii="Times New Roman" w:hAnsi="Times New Roman" w:cs="Times New Roman"/>
              </w:rPr>
              <w:t>ifikowania konkretnych danych z </w:t>
            </w:r>
            <w:r w:rsidRPr="00584929">
              <w:rPr>
                <w:rFonts w:ascii="Times New Roman" w:hAnsi="Times New Roman" w:cs="Times New Roman"/>
              </w:rPr>
              <w:t>KRS do listy będącej w posiadaniu rejestru przedsiębio</w:t>
            </w:r>
            <w:r w:rsidR="00FD5309" w:rsidRPr="00584929">
              <w:rPr>
                <w:rFonts w:ascii="Times New Roman" w:hAnsi="Times New Roman" w:cs="Times New Roman"/>
              </w:rPr>
              <w:t>rstw danych tworzy sytuacje, w </w:t>
            </w:r>
            <w:r w:rsidRPr="00584929">
              <w:rPr>
                <w:rFonts w:ascii="Times New Roman" w:hAnsi="Times New Roman" w:cs="Times New Roman"/>
              </w:rPr>
              <w:t>której podmiot nie posiadający merytorycznych</w:t>
            </w:r>
            <w:r w:rsidR="00FD5309" w:rsidRPr="00584929">
              <w:rPr>
                <w:rFonts w:ascii="Times New Roman" w:hAnsi="Times New Roman" w:cs="Times New Roman"/>
              </w:rPr>
              <w:t xml:space="preserve"> kompetencji będzie decydował o </w:t>
            </w:r>
            <w:r w:rsidRPr="00584929">
              <w:rPr>
                <w:rFonts w:ascii="Times New Roman" w:hAnsi="Times New Roman" w:cs="Times New Roman"/>
              </w:rPr>
              <w:t>doborze danych o wysokiej wartości w zakresie danych gromadzonych w KRS przy pozbawieniu Ministra Sprawiedliwości prowadzącego KRS jakichkolwiek kompetencji. Projektowana norma zawężająca do jednego tylko podmiotu decyzję o zakresie danych stwarza ryzyko zaliczenia w obręb danych takich, które albo nie znajdują się w rejestrze przedsiębiorców, albo nie mają dla obrotu gospodarczego decydującego znaczenia. Równocześnie ryzyko pominięcia danych faktycznie o wysokim znaczeniu nadal istnieje. Należy mieć na uwadze, iż celem powołanej wyżej dyrek</w:t>
            </w:r>
            <w:r w:rsidR="00790659" w:rsidRPr="00584929">
              <w:rPr>
                <w:rFonts w:ascii="Times New Roman" w:hAnsi="Times New Roman" w:cs="Times New Roman"/>
              </w:rPr>
              <w:t>tywy Parlamentu Europejskiego i </w:t>
            </w:r>
            <w:r w:rsidRPr="00584929">
              <w:rPr>
                <w:rFonts w:ascii="Times New Roman" w:hAnsi="Times New Roman" w:cs="Times New Roman"/>
              </w:rPr>
              <w:t xml:space="preserve">Rady 2019/1024/UE z dnia 20 czerwca 2019 r. jest stworzenie szczególnego zbioru danych o wysokiej wartości: a) udostępniany jest bezpłatnie, z zastrzeżeniem </w:t>
            </w:r>
            <w:r w:rsidRPr="00584929">
              <w:rPr>
                <w:rFonts w:ascii="Times New Roman" w:hAnsi="Times New Roman" w:cs="Times New Roman"/>
              </w:rPr>
              <w:lastRenderedPageBreak/>
              <w:t>ust. 3, 4 i 5; b) jest w formacie nadającym się do odczytu maszynowego; c) jest udostępniany za pośrednictwem interfejsów API; oraz d) w odpowiednich przypadkach, jest udostępniany do zbiorczego pobrania. Równocześnie identyfikacj</w:t>
            </w:r>
            <w:r w:rsidR="00FD5309" w:rsidRPr="00584929">
              <w:rPr>
                <w:rFonts w:ascii="Times New Roman" w:hAnsi="Times New Roman" w:cs="Times New Roman"/>
              </w:rPr>
              <w:t>a szczególnych zbiorów danych o </w:t>
            </w:r>
            <w:r w:rsidRPr="00584929">
              <w:rPr>
                <w:rFonts w:ascii="Times New Roman" w:hAnsi="Times New Roman" w:cs="Times New Roman"/>
              </w:rPr>
              <w:t>wysokiej wartości dokonywana ma być w oparciu o ocenę ich potencjału w zakresie: a)</w:t>
            </w:r>
            <w:r w:rsidR="00FD5309" w:rsidRPr="00584929">
              <w:rPr>
                <w:rFonts w:ascii="Times New Roman" w:hAnsi="Times New Roman" w:cs="Times New Roman"/>
              </w:rPr>
              <w:t> </w:t>
            </w:r>
            <w:r w:rsidRPr="00584929">
              <w:rPr>
                <w:rFonts w:ascii="Times New Roman" w:hAnsi="Times New Roman" w:cs="Times New Roman"/>
              </w:rPr>
              <w:t>generowania istotnych korzyści społecznoekonomicznych lub środowiskowych oraz innowacyjnych usług; b)  przydatności dla dużej liczby użytkowników, w sz</w:t>
            </w:r>
            <w:r w:rsidR="00790659" w:rsidRPr="00584929">
              <w:rPr>
                <w:rFonts w:ascii="Times New Roman" w:hAnsi="Times New Roman" w:cs="Times New Roman"/>
              </w:rPr>
              <w:t>czególności MŚP; c) pomagania w </w:t>
            </w:r>
            <w:r w:rsidRPr="00584929">
              <w:rPr>
                <w:rFonts w:ascii="Times New Roman" w:hAnsi="Times New Roman" w:cs="Times New Roman"/>
              </w:rPr>
              <w:t>generowaniu dochodów; oraz d) łączenia ich z innymi zbiorami danych. Jak widać z powyższych zestawień kwalifikacj</w:t>
            </w:r>
            <w:r w:rsidR="00FD5309" w:rsidRPr="00584929">
              <w:rPr>
                <w:rFonts w:ascii="Times New Roman" w:hAnsi="Times New Roman" w:cs="Times New Roman"/>
              </w:rPr>
              <w:t>a danych o wysokiej wartości, w </w:t>
            </w:r>
            <w:r w:rsidR="00790659" w:rsidRPr="00584929">
              <w:rPr>
                <w:rFonts w:ascii="Times New Roman" w:hAnsi="Times New Roman" w:cs="Times New Roman"/>
              </w:rPr>
              <w:t>tym w </w:t>
            </w:r>
            <w:r w:rsidRPr="00584929">
              <w:rPr>
                <w:rFonts w:ascii="Times New Roman" w:hAnsi="Times New Roman" w:cs="Times New Roman"/>
              </w:rPr>
              <w:t>szczególności danych w o wysokiej wartości w kategorii danych dotyczących przedsiębiorstw i ich własności nie jest materią stricte informatyczną i wymaga merytorycznego zaangażowania w proces ich doboru, identyfikacji i rozpoznania odpowiadającym wykazowi danych, w szczególności zawartych w rejestrze przedsiębiorców KRS. W tej sytuacji projektowana kompetencja ministra właściwego do spraw informatyzacji nie znajdu</w:t>
            </w:r>
            <w:r w:rsidR="00790659" w:rsidRPr="00584929">
              <w:rPr>
                <w:rFonts w:ascii="Times New Roman" w:hAnsi="Times New Roman" w:cs="Times New Roman"/>
              </w:rPr>
              <w:t>je dostatecznego uzasadnienia i </w:t>
            </w:r>
            <w:r w:rsidRPr="00584929">
              <w:rPr>
                <w:rFonts w:ascii="Times New Roman" w:hAnsi="Times New Roman" w:cs="Times New Roman"/>
              </w:rPr>
              <w:t>powinna zostać powierzona Ministrowi Sprawiedliwości w zakresie tych d</w:t>
            </w:r>
            <w:r w:rsidR="00790659" w:rsidRPr="00584929">
              <w:rPr>
                <w:rFonts w:ascii="Times New Roman" w:hAnsi="Times New Roman" w:cs="Times New Roman"/>
              </w:rPr>
              <w:t>anych, które przechowywane są w </w:t>
            </w:r>
            <w:r w:rsidRPr="00584929">
              <w:rPr>
                <w:rFonts w:ascii="Times New Roman" w:hAnsi="Times New Roman" w:cs="Times New Roman"/>
              </w:rPr>
              <w:t>rejestrze KRS przez niego utrzymywanym.</w:t>
            </w:r>
          </w:p>
        </w:tc>
        <w:tc>
          <w:tcPr>
            <w:tcW w:w="4785" w:type="dxa"/>
            <w:shd w:val="clear" w:color="auto" w:fill="auto"/>
          </w:tcPr>
          <w:p w14:paraId="240FD9F7" w14:textId="47F2150A" w:rsidR="006D6263" w:rsidRPr="00584929" w:rsidRDefault="003913A1" w:rsidP="00790659">
            <w:pPr>
              <w:rPr>
                <w:rFonts w:ascii="Times New Roman" w:hAnsi="Times New Roman" w:cs="Times New Roman"/>
                <w:b/>
              </w:rPr>
            </w:pPr>
            <w:r w:rsidRPr="00584929">
              <w:rPr>
                <w:rFonts w:ascii="Times New Roman" w:hAnsi="Times New Roman" w:cs="Times New Roman"/>
                <w:b/>
              </w:rPr>
              <w:lastRenderedPageBreak/>
              <w:t xml:space="preserve">Uwaga </w:t>
            </w:r>
            <w:r w:rsidR="00790659" w:rsidRPr="00584929">
              <w:rPr>
                <w:rFonts w:ascii="Times New Roman" w:hAnsi="Times New Roman" w:cs="Times New Roman"/>
                <w:b/>
              </w:rPr>
              <w:t>uwzględniona</w:t>
            </w:r>
            <w:r w:rsidR="00711F71">
              <w:rPr>
                <w:rFonts w:ascii="Times New Roman" w:hAnsi="Times New Roman" w:cs="Times New Roman"/>
                <w:b/>
              </w:rPr>
              <w:t xml:space="preserve"> częściowo</w:t>
            </w:r>
            <w:r w:rsidR="003C7D4D">
              <w:rPr>
                <w:rFonts w:ascii="Times New Roman" w:hAnsi="Times New Roman" w:cs="Times New Roman"/>
                <w:b/>
              </w:rPr>
              <w:t xml:space="preserve">/wyjaśnienia </w:t>
            </w:r>
          </w:p>
          <w:p w14:paraId="7A1D2DCA" w14:textId="77777777" w:rsidR="00873D2A" w:rsidRPr="00873D2A" w:rsidRDefault="00873D2A" w:rsidP="00873D2A">
            <w:pPr>
              <w:jc w:val="both"/>
              <w:rPr>
                <w:rFonts w:ascii="Times New Roman" w:hAnsi="Times New Roman" w:cs="Times New Roman"/>
              </w:rPr>
            </w:pPr>
            <w:r w:rsidRPr="00873D2A">
              <w:rPr>
                <w:rFonts w:ascii="Times New Roman" w:hAnsi="Times New Roman" w:cs="Times New Roman"/>
              </w:rPr>
              <w:lastRenderedPageBreak/>
              <w:t>Przepis art. 26 projektu zostanie zmieniony. W miejsce upoważnienia dla ministra właściwego do spraw informatyzacji do wydania jednego rozporządzenia w sprawie danych o wysokiej wartości, wprowadzonych zostanie kilka upoważnień dla poszczególnych ministrów właściwych ze względu na zasoby danych mieszczące się w kategoriach tematycznych wskazanych w załączniku I do dyrektywy 2019/1024/UE. Co do zasady każdy z właściwych ministrów wydawać będzie rozporządzenie dotyczące zasobów danych o wysokiej wartości (przy współuczestnictwie ministra właściwego do spraw informatyzacji) z określonej kategorii tematycznej. Wyjątek dotyczy kategorii tematycznej dane statystyczne. W tym przypadku rozporządzenie wydawać będzie minister właściwy do spraw informatyzacji po zasięgnięciu opinii Prezesa Głównego Urzędu Statycznego. Elementy rozporządzeń co do zasady pozostaną bez zmian.</w:t>
            </w:r>
          </w:p>
          <w:p w14:paraId="4C7294FE" w14:textId="77777777" w:rsidR="00873D2A" w:rsidRPr="00873D2A" w:rsidRDefault="00873D2A" w:rsidP="00873D2A">
            <w:pPr>
              <w:jc w:val="both"/>
              <w:rPr>
                <w:rFonts w:ascii="Times New Roman" w:hAnsi="Times New Roman" w:cs="Times New Roman"/>
              </w:rPr>
            </w:pPr>
            <w:r w:rsidRPr="00873D2A">
              <w:rPr>
                <w:rFonts w:ascii="Times New Roman" w:hAnsi="Times New Roman" w:cs="Times New Roman"/>
              </w:rPr>
              <w:t xml:space="preserve">Mając na uwadze powyższe Minister Sprawiedliwości zostanie na podstawie projektowanej ustawy upoważniony do wydania (w porozumieniu z ministrem właściwym do spraw informatyzacji) rozporządzenia dot. danych o wysokiej wartości w zakresie kategorii tematycznej dane  dotyczące przedsiębiorstw i ich własności. W rozporządzeniu tym określona zostanie: </w:t>
            </w:r>
          </w:p>
          <w:p w14:paraId="62CAC2CA" w14:textId="77777777" w:rsidR="00873D2A" w:rsidRPr="00873D2A" w:rsidRDefault="00873D2A" w:rsidP="00873D2A">
            <w:pPr>
              <w:numPr>
                <w:ilvl w:val="0"/>
                <w:numId w:val="39"/>
              </w:numPr>
              <w:ind w:left="317" w:hanging="284"/>
              <w:jc w:val="both"/>
              <w:rPr>
                <w:rFonts w:ascii="Times New Roman" w:hAnsi="Times New Roman" w:cs="Times New Roman"/>
                <w:bCs/>
              </w:rPr>
            </w:pPr>
            <w:r w:rsidRPr="00873D2A">
              <w:rPr>
                <w:rFonts w:ascii="Times New Roman" w:hAnsi="Times New Roman" w:cs="Times New Roman"/>
                <w:bCs/>
              </w:rPr>
              <w:t>lista będących w posiadaniu podmiotu zobowiązanego danych o wysokiej wartości spośród kategorii tematycznej: dane dotyczące przedsiębiorstw i ich własności,</w:t>
            </w:r>
          </w:p>
          <w:p w14:paraId="179FBC84" w14:textId="77777777" w:rsidR="00873D2A" w:rsidRPr="00873D2A" w:rsidRDefault="00873D2A" w:rsidP="00873D2A">
            <w:pPr>
              <w:numPr>
                <w:ilvl w:val="0"/>
                <w:numId w:val="39"/>
              </w:numPr>
              <w:ind w:left="317" w:hanging="284"/>
              <w:jc w:val="both"/>
              <w:rPr>
                <w:rFonts w:ascii="Times New Roman" w:hAnsi="Times New Roman" w:cs="Times New Roman"/>
                <w:bCs/>
              </w:rPr>
            </w:pPr>
            <w:r w:rsidRPr="00873D2A">
              <w:rPr>
                <w:rFonts w:ascii="Times New Roman" w:hAnsi="Times New Roman" w:cs="Times New Roman"/>
                <w:bCs/>
              </w:rPr>
              <w:t>harmonogram udostępniania na portalu danych:</w:t>
            </w:r>
          </w:p>
          <w:p w14:paraId="660FD477" w14:textId="77777777" w:rsidR="00873D2A" w:rsidRPr="00873D2A" w:rsidRDefault="00873D2A" w:rsidP="00873D2A">
            <w:pPr>
              <w:numPr>
                <w:ilvl w:val="0"/>
                <w:numId w:val="40"/>
              </w:numPr>
              <w:ind w:left="600" w:hanging="283"/>
              <w:jc w:val="both"/>
              <w:rPr>
                <w:rFonts w:ascii="Times New Roman" w:hAnsi="Times New Roman" w:cs="Times New Roman"/>
                <w:bCs/>
              </w:rPr>
            </w:pPr>
            <w:r w:rsidRPr="00873D2A">
              <w:rPr>
                <w:rFonts w:ascii="Times New Roman" w:hAnsi="Times New Roman" w:cs="Times New Roman"/>
                <w:bCs/>
              </w:rPr>
              <w:lastRenderedPageBreak/>
              <w:t>danych, o których mowa w pkt 1, oraz metadanych albo</w:t>
            </w:r>
          </w:p>
          <w:p w14:paraId="0856C222" w14:textId="77777777" w:rsidR="00873D2A" w:rsidRPr="00873D2A" w:rsidRDefault="00873D2A" w:rsidP="00873D2A">
            <w:pPr>
              <w:numPr>
                <w:ilvl w:val="0"/>
                <w:numId w:val="40"/>
              </w:numPr>
              <w:ind w:left="600" w:hanging="283"/>
              <w:jc w:val="both"/>
              <w:rPr>
                <w:rFonts w:ascii="Times New Roman" w:hAnsi="Times New Roman" w:cs="Times New Roman"/>
                <w:bCs/>
              </w:rPr>
            </w:pPr>
            <w:r w:rsidRPr="00873D2A">
              <w:rPr>
                <w:rFonts w:ascii="Times New Roman" w:hAnsi="Times New Roman" w:cs="Times New Roman"/>
                <w:bCs/>
              </w:rPr>
              <w:t>metadanych, w przypadku gdy dane, o których mowa w pkt 1, przechowywane są w publicznie dostępnym systemie teleinformatycznym podmiotu zobowiązanego i udostępniane w celu ich ponownego wykorzystywania w sposób, o którym mowa w art. 25 ust. 1 projektu ustawy,</w:t>
            </w:r>
          </w:p>
          <w:p w14:paraId="03625138" w14:textId="77777777" w:rsidR="00873D2A" w:rsidRPr="00873D2A" w:rsidRDefault="00873D2A" w:rsidP="00873D2A">
            <w:pPr>
              <w:numPr>
                <w:ilvl w:val="0"/>
                <w:numId w:val="39"/>
              </w:numPr>
              <w:ind w:left="317" w:hanging="284"/>
              <w:jc w:val="both"/>
              <w:rPr>
                <w:rFonts w:ascii="Times New Roman" w:hAnsi="Times New Roman" w:cs="Times New Roman"/>
                <w:bCs/>
              </w:rPr>
            </w:pPr>
            <w:r w:rsidRPr="00873D2A">
              <w:rPr>
                <w:rFonts w:ascii="Times New Roman" w:hAnsi="Times New Roman" w:cs="Times New Roman"/>
                <w:bCs/>
              </w:rPr>
              <w:t>sposób udostępniania, o którym mowa w pkt 2, mając na względzie posiadaną przez podmiot zobowiązany infrastrukturę teleinformatyczną umożliwiającą gromadzenie w niej danych o wysokiej wartości oraz ich udostępnianie w celu ponownego wykorzystywania, a także możliwości techniczne przechowywania tych danych na portalu danych,</w:t>
            </w:r>
          </w:p>
          <w:p w14:paraId="6DD29407" w14:textId="77777777" w:rsidR="00873D2A" w:rsidRPr="00873D2A" w:rsidRDefault="00873D2A" w:rsidP="00873D2A">
            <w:pPr>
              <w:numPr>
                <w:ilvl w:val="0"/>
                <w:numId w:val="39"/>
              </w:numPr>
              <w:ind w:left="317" w:hanging="284"/>
              <w:jc w:val="both"/>
              <w:rPr>
                <w:rFonts w:ascii="Times New Roman" w:hAnsi="Times New Roman" w:cs="Times New Roman"/>
                <w:bCs/>
              </w:rPr>
            </w:pPr>
            <w:r w:rsidRPr="00873D2A">
              <w:rPr>
                <w:rFonts w:ascii="Times New Roman" w:hAnsi="Times New Roman" w:cs="Times New Roman"/>
                <w:bCs/>
              </w:rPr>
              <w:t>format danych, o których mowa w pkt 2,</w:t>
            </w:r>
          </w:p>
          <w:p w14:paraId="4285C3B5" w14:textId="77777777" w:rsidR="00873D2A" w:rsidRPr="00873D2A" w:rsidRDefault="00873D2A" w:rsidP="00873D2A">
            <w:pPr>
              <w:numPr>
                <w:ilvl w:val="0"/>
                <w:numId w:val="39"/>
              </w:numPr>
              <w:ind w:left="317" w:hanging="284"/>
              <w:jc w:val="both"/>
              <w:rPr>
                <w:rFonts w:ascii="Times New Roman" w:hAnsi="Times New Roman" w:cs="Times New Roman"/>
                <w:bCs/>
              </w:rPr>
            </w:pPr>
            <w:r w:rsidRPr="00873D2A">
              <w:rPr>
                <w:rFonts w:ascii="Times New Roman" w:hAnsi="Times New Roman" w:cs="Times New Roman"/>
                <w:bCs/>
              </w:rPr>
              <w:t>możliwe warunki ponownego wykorzystywania, o których mowa w rozdziale 3 projektu ustawy,</w:t>
            </w:r>
          </w:p>
          <w:p w14:paraId="20B1D7A3" w14:textId="77777777" w:rsidR="00873D2A" w:rsidRPr="00873D2A" w:rsidRDefault="00873D2A" w:rsidP="00873D2A">
            <w:pPr>
              <w:numPr>
                <w:ilvl w:val="0"/>
                <w:numId w:val="39"/>
              </w:numPr>
              <w:ind w:left="317" w:hanging="284"/>
              <w:jc w:val="both"/>
              <w:rPr>
                <w:rFonts w:ascii="Times New Roman" w:hAnsi="Times New Roman" w:cs="Times New Roman"/>
                <w:bCs/>
              </w:rPr>
            </w:pPr>
            <w:r w:rsidRPr="00873D2A">
              <w:rPr>
                <w:rFonts w:ascii="Times New Roman" w:hAnsi="Times New Roman" w:cs="Times New Roman"/>
                <w:bCs/>
              </w:rPr>
              <w:t>częstotliwość aktualizacji danych oraz metadanych, o których mowa w pkt 2, mając na względzie konieczność zagwarantowania ich aktualności</w:t>
            </w:r>
          </w:p>
          <w:p w14:paraId="7876C6E8" w14:textId="2CE95B3A" w:rsidR="00790659" w:rsidRPr="00873D2A" w:rsidRDefault="00873D2A" w:rsidP="00873D2A">
            <w:pPr>
              <w:jc w:val="both"/>
              <w:rPr>
                <w:rFonts w:ascii="Times New Roman" w:eastAsiaTheme="minorEastAsia" w:hAnsi="Times New Roman" w:cs="Times New Roman"/>
                <w:sz w:val="20"/>
                <w:szCs w:val="20"/>
                <w:lang w:eastAsia="pl-PL"/>
              </w:rPr>
            </w:pPr>
            <w:r w:rsidRPr="00873D2A">
              <w:rPr>
                <w:rFonts w:ascii="Times New Roman" w:hAnsi="Times New Roman" w:cs="Times New Roman"/>
                <w:bCs/>
              </w:rPr>
              <w:t>Z uwzględnieniem wykazu ustanowionego przez Komisję Europejską na podstawie art. 14 ust. 1 dyrektywy 2019/1024/UE.</w:t>
            </w:r>
          </w:p>
        </w:tc>
      </w:tr>
      <w:tr w:rsidR="006D6263" w:rsidRPr="00584929" w14:paraId="290D1144" w14:textId="77777777" w:rsidTr="00D94ED7">
        <w:tc>
          <w:tcPr>
            <w:tcW w:w="676" w:type="dxa"/>
            <w:shd w:val="clear" w:color="auto" w:fill="auto"/>
          </w:tcPr>
          <w:p w14:paraId="69EBADCE" w14:textId="004C88CB" w:rsidR="006D6263" w:rsidRPr="00584929" w:rsidRDefault="006D6263" w:rsidP="004A29FC">
            <w:pPr>
              <w:pStyle w:val="Akapitzlist"/>
              <w:numPr>
                <w:ilvl w:val="0"/>
                <w:numId w:val="20"/>
              </w:numPr>
              <w:rPr>
                <w:sz w:val="22"/>
                <w:szCs w:val="22"/>
              </w:rPr>
            </w:pPr>
          </w:p>
        </w:tc>
        <w:tc>
          <w:tcPr>
            <w:tcW w:w="1968" w:type="dxa"/>
            <w:shd w:val="clear" w:color="auto" w:fill="auto"/>
          </w:tcPr>
          <w:p w14:paraId="11779A12" w14:textId="082C231E" w:rsidR="006D6263" w:rsidRPr="00584929" w:rsidRDefault="001A494D"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345E5D09" w14:textId="3B2C18BC" w:rsidR="006D6263" w:rsidRPr="00584929" w:rsidRDefault="001A494D" w:rsidP="004A29FC">
            <w:pPr>
              <w:rPr>
                <w:rFonts w:ascii="Times New Roman" w:hAnsi="Times New Roman" w:cs="Times New Roman"/>
              </w:rPr>
            </w:pPr>
            <w:r w:rsidRPr="00584929">
              <w:rPr>
                <w:rFonts w:ascii="Times New Roman" w:hAnsi="Times New Roman" w:cs="Times New Roman"/>
              </w:rPr>
              <w:t>Art. 27 w relacji do art. 29</w:t>
            </w:r>
          </w:p>
        </w:tc>
        <w:tc>
          <w:tcPr>
            <w:tcW w:w="5323" w:type="dxa"/>
            <w:shd w:val="clear" w:color="auto" w:fill="auto"/>
          </w:tcPr>
          <w:p w14:paraId="2323FA76" w14:textId="53B5B435" w:rsidR="006D6263" w:rsidRPr="00584929" w:rsidRDefault="001A494D" w:rsidP="00FD5309">
            <w:pPr>
              <w:jc w:val="both"/>
              <w:rPr>
                <w:rFonts w:ascii="Times New Roman" w:hAnsi="Times New Roman" w:cs="Times New Roman"/>
              </w:rPr>
            </w:pPr>
            <w:r w:rsidRPr="00584929">
              <w:rPr>
                <w:rFonts w:ascii="Times New Roman" w:hAnsi="Times New Roman" w:cs="Times New Roman"/>
              </w:rPr>
              <w:t xml:space="preserve">Art. 27 w relacji do art. 29 projektu ustawy – regulacja ta wymaga ponownej oceny co do kompletności. Mając na uwadze, że zgodnie z art. 1 projektu ustawy przepisy tego aktu powinny określać zasady otwartości danych należy zauważyć, że zasad tych nie reguluje w stosunku do otwartych danych ani rozdział 2 ani rozdział  6 i 7 projektu ustawy. Ponadto w art. 2 została sformułowana definicja </w:t>
            </w:r>
            <w:r w:rsidRPr="00584929">
              <w:rPr>
                <w:rFonts w:ascii="Times New Roman" w:hAnsi="Times New Roman" w:cs="Times New Roman"/>
              </w:rPr>
              <w:lastRenderedPageBreak/>
              <w:t>otwartych danych, wydaje się zatem że wszystkie dane, które spełniają kryteria definicyjne otwartych danych powinny zostać udostępnione w portalu otwartych danych. Wskazane przepisy nie wskazują jednak na taką relację, bowiem w portalu otwartych danych są umieszczane jedynie dane „o szczególnym znaczeniu dla rozwoju innowacyjności w państwie i rozwoju społeczeństwa informacyjnego”. Art. 29 nie odwołuje się, opisują</w:t>
            </w:r>
            <w:r w:rsidR="00FD5309" w:rsidRPr="00584929">
              <w:rPr>
                <w:rFonts w:ascii="Times New Roman" w:hAnsi="Times New Roman" w:cs="Times New Roman"/>
              </w:rPr>
              <w:t>c zakres udostępnienia danych w </w:t>
            </w:r>
            <w:r w:rsidRPr="00584929">
              <w:rPr>
                <w:rFonts w:ascii="Times New Roman" w:hAnsi="Times New Roman" w:cs="Times New Roman"/>
              </w:rPr>
              <w:t>portalu, ani do art. 27 ani do definicji otwartych danych z art. 2. Ponadto art. 27 wymaga korekty redakcyjnej, gdyż w przedstawionym brzmieniu nie ma charakteru stanowczej normy prawnej, w swoim brzmieniu określa raczej cechy danych, warunki ich udostępnienia czy sposób udostępnienia, które te dane „powinny spełniać”, a nadto sposób sformułowania ust. 2, do którego odsyła definicja z art. 2, utrudnia odtworzenie zakresu przedmiotowego pojęcia „otwartych danych” na potrzeby stosowania ustawy.</w:t>
            </w:r>
          </w:p>
        </w:tc>
        <w:tc>
          <w:tcPr>
            <w:tcW w:w="4785" w:type="dxa"/>
            <w:shd w:val="clear" w:color="auto" w:fill="auto"/>
          </w:tcPr>
          <w:p w14:paraId="789D9033" w14:textId="3DDEFA13" w:rsidR="006D6263" w:rsidRPr="00584929" w:rsidRDefault="003347B7" w:rsidP="004A29FC">
            <w:pPr>
              <w:rPr>
                <w:rFonts w:ascii="Times New Roman" w:hAnsi="Times New Roman" w:cs="Times New Roman"/>
                <w:b/>
              </w:rPr>
            </w:pPr>
            <w:r w:rsidRPr="00584929">
              <w:rPr>
                <w:rFonts w:ascii="Times New Roman" w:hAnsi="Times New Roman" w:cs="Times New Roman"/>
                <w:b/>
              </w:rPr>
              <w:lastRenderedPageBreak/>
              <w:t xml:space="preserve">Wyjaśnienie </w:t>
            </w:r>
          </w:p>
          <w:p w14:paraId="7B12F408" w14:textId="62FD674F" w:rsidR="003347B7" w:rsidRPr="00584929" w:rsidRDefault="003347B7" w:rsidP="004A29FC">
            <w:pPr>
              <w:rPr>
                <w:rFonts w:ascii="Times New Roman" w:hAnsi="Times New Roman" w:cs="Times New Roman"/>
              </w:rPr>
            </w:pPr>
            <w:r w:rsidRPr="00584929">
              <w:rPr>
                <w:rFonts w:ascii="Times New Roman" w:hAnsi="Times New Roman" w:cs="Times New Roman"/>
              </w:rPr>
              <w:t>1. Art. 27 ust. 1.</w:t>
            </w:r>
          </w:p>
          <w:p w14:paraId="4FB1FC4C" w14:textId="7D68009E" w:rsidR="00A811A6" w:rsidRPr="00584929" w:rsidRDefault="003347B7" w:rsidP="003347B7">
            <w:pPr>
              <w:jc w:val="both"/>
              <w:rPr>
                <w:rFonts w:ascii="Times New Roman" w:hAnsi="Times New Roman" w:cs="Times New Roman"/>
              </w:rPr>
            </w:pPr>
            <w:r w:rsidRPr="00584929">
              <w:rPr>
                <w:rFonts w:ascii="Times New Roman" w:hAnsi="Times New Roman" w:cs="Times New Roman"/>
              </w:rPr>
              <w:t xml:space="preserve">Art. 27 ust. 1 formułującego zasad, zgodnie z którą podmioty zobowiązane, o ile to możliwe, powinny udostępniać lub przekazywać ISP w celu ponownego wykorzystywania, jako otarte dane (zasada otwartości danych), została przeniesiony do </w:t>
            </w:r>
            <w:r w:rsidRPr="00584929">
              <w:rPr>
                <w:rFonts w:ascii="Times New Roman" w:hAnsi="Times New Roman" w:cs="Times New Roman"/>
              </w:rPr>
              <w:lastRenderedPageBreak/>
              <w:t xml:space="preserve">rozdziału 2 projektu ustawy (Zasady udostępniania i przekazywania ISP w celu ponownego wykorzystywania). Należy wyjaśnić, że otwarte dane stanowią szczególny rodzaj ISP. Warunkiem uznania określonych ISP za otwarte dane jest spełnianie przez nich wszystkich przesłanek określonych w art. 2 pkt 11 projektu ustawy (definicja otwartych danych). Przesłanek tych, z różnych względów, nie będą spełniać wszystkie ISP. Zasada otwartości danych wyznacza dysponentom danych kierunek działań, którym jest podejmowane starań mających celu podnoszenie stopnia otwartości posiadanych ISP oraz ich udostępnianie jako danych otwartych. </w:t>
            </w:r>
          </w:p>
          <w:p w14:paraId="1D64825F" w14:textId="77777777" w:rsidR="00AB2ED6" w:rsidRPr="00584929" w:rsidRDefault="00AB2ED6" w:rsidP="003347B7">
            <w:pPr>
              <w:jc w:val="both"/>
              <w:rPr>
                <w:rFonts w:ascii="Times New Roman" w:hAnsi="Times New Roman" w:cs="Times New Roman"/>
              </w:rPr>
            </w:pPr>
          </w:p>
          <w:p w14:paraId="202C7712" w14:textId="77777777" w:rsidR="00A811A6" w:rsidRPr="00584929" w:rsidRDefault="003347B7" w:rsidP="004A29FC">
            <w:pPr>
              <w:rPr>
                <w:rFonts w:ascii="Times New Roman" w:hAnsi="Times New Roman" w:cs="Times New Roman"/>
              </w:rPr>
            </w:pPr>
            <w:r w:rsidRPr="00584929">
              <w:rPr>
                <w:rFonts w:ascii="Times New Roman" w:hAnsi="Times New Roman" w:cs="Times New Roman"/>
              </w:rPr>
              <w:t xml:space="preserve">2. Art. 27 ust. 2. </w:t>
            </w:r>
          </w:p>
          <w:p w14:paraId="183D4F39" w14:textId="77777777" w:rsidR="003347B7" w:rsidRPr="00584929" w:rsidRDefault="003347B7" w:rsidP="003347B7">
            <w:pPr>
              <w:jc w:val="both"/>
              <w:rPr>
                <w:rFonts w:ascii="Times New Roman" w:hAnsi="Times New Roman" w:cs="Times New Roman"/>
              </w:rPr>
            </w:pPr>
            <w:r w:rsidRPr="00584929">
              <w:rPr>
                <w:rFonts w:ascii="Times New Roman" w:hAnsi="Times New Roman" w:cs="Times New Roman"/>
              </w:rPr>
              <w:t>Treść art. 27 ust. 2 projektu ustawy (cechy otwartych danych) została włączona do definicji otwartych danych (art. 2 pkt 11 projektu ustawy).</w:t>
            </w:r>
          </w:p>
          <w:p w14:paraId="0BAD961D" w14:textId="77777777" w:rsidR="00AB2ED6" w:rsidRPr="00584929" w:rsidRDefault="00AB2ED6" w:rsidP="003347B7">
            <w:pPr>
              <w:jc w:val="both"/>
              <w:rPr>
                <w:rFonts w:ascii="Times New Roman" w:hAnsi="Times New Roman" w:cs="Times New Roman"/>
              </w:rPr>
            </w:pPr>
          </w:p>
          <w:p w14:paraId="6D18CE63" w14:textId="77777777" w:rsidR="003347B7" w:rsidRPr="00584929" w:rsidRDefault="003347B7" w:rsidP="003347B7">
            <w:pPr>
              <w:jc w:val="both"/>
              <w:rPr>
                <w:rFonts w:ascii="Times New Roman" w:hAnsi="Times New Roman" w:cs="Times New Roman"/>
              </w:rPr>
            </w:pPr>
            <w:r w:rsidRPr="00584929">
              <w:rPr>
                <w:rFonts w:ascii="Times New Roman" w:hAnsi="Times New Roman" w:cs="Times New Roman"/>
              </w:rPr>
              <w:t xml:space="preserve">3. Otwarte dane a portal otwartych danych. </w:t>
            </w:r>
          </w:p>
          <w:p w14:paraId="0A99F7E1" w14:textId="2EB838A6" w:rsidR="00AB2ED6" w:rsidRPr="00584929" w:rsidRDefault="00AB2ED6" w:rsidP="00AB2ED6">
            <w:pPr>
              <w:jc w:val="both"/>
              <w:rPr>
                <w:rFonts w:ascii="Times New Roman" w:hAnsi="Times New Roman" w:cs="Times New Roman"/>
              </w:rPr>
            </w:pPr>
            <w:r w:rsidRPr="00584929">
              <w:rPr>
                <w:rFonts w:ascii="Times New Roman" w:hAnsi="Times New Roman" w:cs="Times New Roman"/>
              </w:rPr>
              <w:t>Nazwa „portal otwartych danych” zostanie zastąpiona nazwą „portal danych”.</w:t>
            </w:r>
          </w:p>
          <w:p w14:paraId="195EB8CA" w14:textId="25DA5ED3" w:rsidR="003347B7" w:rsidRPr="00584929" w:rsidRDefault="003347B7" w:rsidP="00AB2ED6">
            <w:pPr>
              <w:jc w:val="both"/>
              <w:rPr>
                <w:b/>
              </w:rPr>
            </w:pPr>
            <w:r w:rsidRPr="00584929">
              <w:rPr>
                <w:rFonts w:ascii="Times New Roman" w:hAnsi="Times New Roman" w:cs="Times New Roman"/>
              </w:rPr>
              <w:t xml:space="preserve">Na portalu danych </w:t>
            </w:r>
            <w:r w:rsidR="00AB2ED6" w:rsidRPr="00584929">
              <w:rPr>
                <w:rFonts w:ascii="Times New Roman" w:hAnsi="Times New Roman" w:cs="Times New Roman"/>
              </w:rPr>
              <w:t>udostępniane będą</w:t>
            </w:r>
            <w:r w:rsidRPr="00584929">
              <w:rPr>
                <w:rFonts w:ascii="Times New Roman" w:hAnsi="Times New Roman" w:cs="Times New Roman"/>
              </w:rPr>
              <w:t xml:space="preserve"> ISP o szczególnym znaczeniu dla rozwoju</w:t>
            </w:r>
            <w:r w:rsidRPr="00584929">
              <w:rPr>
                <w:b/>
              </w:rPr>
              <w:t xml:space="preserve"> </w:t>
            </w:r>
            <w:r w:rsidRPr="00584929">
              <w:rPr>
                <w:rFonts w:ascii="Times New Roman" w:hAnsi="Times New Roman" w:cs="Times New Roman"/>
              </w:rPr>
              <w:t>innowacyjności w państwie i rozwoju społeczeństwa informacyjnego, które ze względu na</w:t>
            </w:r>
            <w:r w:rsidR="00AB2ED6" w:rsidRPr="00584929">
              <w:rPr>
                <w:b/>
              </w:rPr>
              <w:t xml:space="preserve"> </w:t>
            </w:r>
            <w:r w:rsidRPr="00584929">
              <w:rPr>
                <w:rFonts w:ascii="Times New Roman" w:hAnsi="Times New Roman" w:cs="Times New Roman"/>
              </w:rPr>
              <w:t>sposób przechowywania i udostępniania pozwalają na ich ponowne wykorzystywanie</w:t>
            </w:r>
            <w:r w:rsidR="00AB2ED6" w:rsidRPr="00584929">
              <w:rPr>
                <w:rFonts w:ascii="Times New Roman" w:hAnsi="Times New Roman" w:cs="Times New Roman"/>
              </w:rPr>
              <w:t xml:space="preserve">. </w:t>
            </w:r>
          </w:p>
          <w:p w14:paraId="0AA585DE" w14:textId="681B25AC" w:rsidR="003347B7" w:rsidRPr="00584929" w:rsidRDefault="003347B7" w:rsidP="00AB2ED6">
            <w:pPr>
              <w:jc w:val="both"/>
              <w:rPr>
                <w:rFonts w:ascii="Times New Roman" w:hAnsi="Times New Roman" w:cs="Times New Roman"/>
              </w:rPr>
            </w:pPr>
            <w:r w:rsidRPr="00584929">
              <w:rPr>
                <w:rFonts w:ascii="Times New Roman" w:hAnsi="Times New Roman" w:cs="Times New Roman"/>
              </w:rPr>
              <w:t xml:space="preserve">Na portalu nie </w:t>
            </w:r>
            <w:r w:rsidR="00AB2ED6" w:rsidRPr="00584929">
              <w:rPr>
                <w:rFonts w:ascii="Times New Roman" w:hAnsi="Times New Roman" w:cs="Times New Roman"/>
              </w:rPr>
              <w:t>będą</w:t>
            </w:r>
            <w:r w:rsidRPr="00584929">
              <w:rPr>
                <w:rFonts w:ascii="Times New Roman" w:hAnsi="Times New Roman" w:cs="Times New Roman"/>
              </w:rPr>
              <w:t xml:space="preserve"> zatem udostępniane wyłącznie otwarte dane. Otwarte dane stanowią szczególny rodzaj ISP i jeżeli będą speł</w:t>
            </w:r>
            <w:r w:rsidR="00AB2ED6" w:rsidRPr="00584929">
              <w:rPr>
                <w:rFonts w:ascii="Times New Roman" w:hAnsi="Times New Roman" w:cs="Times New Roman"/>
              </w:rPr>
              <w:t>niać kryteria, o których mowa powyżej</w:t>
            </w:r>
            <w:r w:rsidRPr="00584929">
              <w:rPr>
                <w:rFonts w:ascii="Times New Roman" w:hAnsi="Times New Roman" w:cs="Times New Roman"/>
              </w:rPr>
              <w:t xml:space="preserve"> będą mogły być udostępniane na portalu. Do otwartych danych udostępnianych na portalu znajdą wówczas zastosowanie zasady oraz </w:t>
            </w:r>
            <w:r w:rsidRPr="00584929">
              <w:rPr>
                <w:rFonts w:ascii="Times New Roman" w:hAnsi="Times New Roman" w:cs="Times New Roman"/>
              </w:rPr>
              <w:lastRenderedPageBreak/>
              <w:t xml:space="preserve">tryb udostępniania ISP, które uregulowane zostały w rozdziale 7 </w:t>
            </w:r>
            <w:r w:rsidR="00AB2ED6" w:rsidRPr="00584929">
              <w:rPr>
                <w:rFonts w:ascii="Times New Roman" w:hAnsi="Times New Roman" w:cs="Times New Roman"/>
              </w:rPr>
              <w:t>projektu ustawy (</w:t>
            </w:r>
            <w:r w:rsidRPr="00584929">
              <w:rPr>
                <w:rFonts w:ascii="Times New Roman" w:hAnsi="Times New Roman" w:cs="Times New Roman"/>
              </w:rPr>
              <w:t xml:space="preserve">Portal </w:t>
            </w:r>
            <w:r w:rsidR="00AB2ED6" w:rsidRPr="00584929">
              <w:rPr>
                <w:rFonts w:ascii="Times New Roman" w:hAnsi="Times New Roman" w:cs="Times New Roman"/>
              </w:rPr>
              <w:t>danych)</w:t>
            </w:r>
            <w:r w:rsidRPr="00584929">
              <w:rPr>
                <w:rFonts w:ascii="Times New Roman" w:hAnsi="Times New Roman" w:cs="Times New Roman"/>
              </w:rPr>
              <w:t>.</w:t>
            </w:r>
            <w:r w:rsidR="00AB2ED6" w:rsidRPr="00584929">
              <w:rPr>
                <w:rFonts w:ascii="Times New Roman" w:hAnsi="Times New Roman" w:cs="Times New Roman"/>
              </w:rPr>
              <w:t xml:space="preserve"> </w:t>
            </w:r>
            <w:r w:rsidRPr="00584929">
              <w:rPr>
                <w:rFonts w:ascii="Times New Roman" w:hAnsi="Times New Roman" w:cs="Times New Roman"/>
              </w:rPr>
              <w:t>Niektóre ISP mogą z różnych względów nie spełniać warunków</w:t>
            </w:r>
            <w:r w:rsidR="00AB2ED6" w:rsidRPr="00584929">
              <w:rPr>
                <w:rFonts w:ascii="Times New Roman" w:hAnsi="Times New Roman" w:cs="Times New Roman"/>
              </w:rPr>
              <w:t>/cech otwartych danych</w:t>
            </w:r>
            <w:r w:rsidRPr="00584929">
              <w:rPr>
                <w:rFonts w:ascii="Times New Roman" w:hAnsi="Times New Roman" w:cs="Times New Roman"/>
              </w:rPr>
              <w:t xml:space="preserve"> (nie będą otwartymi danymi). Nie oznacza to jednak, że ich wartość będzie w związku z tym mniejsza. Niekiedy takie ISP, pomimo że nie będą spełniać </w:t>
            </w:r>
            <w:r w:rsidR="00AB2ED6" w:rsidRPr="00584929">
              <w:rPr>
                <w:rFonts w:ascii="Times New Roman" w:hAnsi="Times New Roman" w:cs="Times New Roman"/>
              </w:rPr>
              <w:t>warunków przypisywanym otwartym danym</w:t>
            </w:r>
            <w:r w:rsidRPr="00584929">
              <w:rPr>
                <w:rFonts w:ascii="Times New Roman" w:hAnsi="Times New Roman" w:cs="Times New Roman"/>
              </w:rPr>
              <w:t>, będą stanowić cenny zasób</w:t>
            </w:r>
            <w:r w:rsidR="00AB2ED6" w:rsidRPr="00584929">
              <w:rPr>
                <w:rFonts w:ascii="Times New Roman" w:hAnsi="Times New Roman" w:cs="Times New Roman"/>
              </w:rPr>
              <w:t xml:space="preserve"> z punktu widzenia możliwości i </w:t>
            </w:r>
            <w:r w:rsidRPr="00584929">
              <w:rPr>
                <w:rFonts w:ascii="Times New Roman" w:hAnsi="Times New Roman" w:cs="Times New Roman"/>
              </w:rPr>
              <w:t>korzyści wynikających z ich ponownego wykorzystywania. Dlatego też na portalu danych udostępnia</w:t>
            </w:r>
            <w:r w:rsidR="00AB2ED6" w:rsidRPr="00584929">
              <w:rPr>
                <w:rFonts w:ascii="Times New Roman" w:hAnsi="Times New Roman" w:cs="Times New Roman"/>
              </w:rPr>
              <w:t>ne będą</w:t>
            </w:r>
            <w:r w:rsidRPr="00584929">
              <w:rPr>
                <w:rFonts w:ascii="Times New Roman" w:hAnsi="Times New Roman" w:cs="Times New Roman"/>
              </w:rPr>
              <w:t xml:space="preserve"> nie tylko otwarte dane, ale wszystkie ISP, które mają (mogą mieć) szczególne znaczenie dla rozw</w:t>
            </w:r>
            <w:r w:rsidR="00AB2ED6" w:rsidRPr="00584929">
              <w:rPr>
                <w:rFonts w:ascii="Times New Roman" w:hAnsi="Times New Roman" w:cs="Times New Roman"/>
              </w:rPr>
              <w:t>oju innowacyjności w państwie i </w:t>
            </w:r>
            <w:r w:rsidRPr="00584929">
              <w:rPr>
                <w:rFonts w:ascii="Times New Roman" w:hAnsi="Times New Roman" w:cs="Times New Roman"/>
              </w:rPr>
              <w:t xml:space="preserve">rozwoju społeczeństwa informacyjnego. </w:t>
            </w:r>
          </w:p>
          <w:p w14:paraId="364C52B1" w14:textId="4EEC0A37" w:rsidR="003347B7" w:rsidRPr="00584929" w:rsidRDefault="003347B7" w:rsidP="00AB2ED6">
            <w:pPr>
              <w:jc w:val="both"/>
              <w:rPr>
                <w:rFonts w:ascii="Times New Roman" w:hAnsi="Times New Roman" w:cs="Times New Roman"/>
              </w:rPr>
            </w:pPr>
            <w:r w:rsidRPr="00584929">
              <w:rPr>
                <w:rFonts w:ascii="Times New Roman" w:hAnsi="Times New Roman" w:cs="Times New Roman"/>
              </w:rPr>
              <w:t xml:space="preserve">Należy podkreślić, że </w:t>
            </w:r>
            <w:r w:rsidR="00AB2ED6" w:rsidRPr="00584929">
              <w:rPr>
                <w:rFonts w:ascii="Times New Roman" w:hAnsi="Times New Roman" w:cs="Times New Roman"/>
              </w:rPr>
              <w:t xml:space="preserve">KPRM (wcześniej Ministrostwo Cyfryzacji), </w:t>
            </w:r>
            <w:r w:rsidRPr="00584929">
              <w:rPr>
                <w:rFonts w:ascii="Times New Roman" w:hAnsi="Times New Roman" w:cs="Times New Roman"/>
              </w:rPr>
              <w:t>któr</w:t>
            </w:r>
            <w:r w:rsidR="00AB2ED6" w:rsidRPr="00584929">
              <w:rPr>
                <w:rFonts w:ascii="Times New Roman" w:hAnsi="Times New Roman" w:cs="Times New Roman"/>
              </w:rPr>
              <w:t>a</w:t>
            </w:r>
            <w:r w:rsidRPr="00584929">
              <w:rPr>
                <w:rFonts w:ascii="Times New Roman" w:hAnsi="Times New Roman" w:cs="Times New Roman"/>
              </w:rPr>
              <w:t xml:space="preserve"> prowadzi portal danych (obecnie pod nazwą </w:t>
            </w:r>
            <w:r w:rsidR="00AB2ED6" w:rsidRPr="00584929">
              <w:rPr>
                <w:rFonts w:ascii="Times New Roman" w:hAnsi="Times New Roman" w:cs="Times New Roman"/>
              </w:rPr>
              <w:t>CRIP</w:t>
            </w:r>
            <w:r w:rsidRPr="00584929">
              <w:rPr>
                <w:rFonts w:ascii="Times New Roman" w:hAnsi="Times New Roman" w:cs="Times New Roman"/>
              </w:rPr>
              <w:t xml:space="preserve">) już od kilku lat prowadzi szereg działań mających na celu podnoszenie poziomu otwartości udostępnianych na nim danych. Celem tych działań jest udostępnianie na portalu jak największej ilości informacji, które spełniać będą </w:t>
            </w:r>
            <w:r w:rsidR="00AB2ED6" w:rsidRPr="00584929">
              <w:rPr>
                <w:rFonts w:ascii="Times New Roman" w:hAnsi="Times New Roman" w:cs="Times New Roman"/>
              </w:rPr>
              <w:t>warunki przypisywane otwartym danym</w:t>
            </w:r>
            <w:r w:rsidRPr="00584929">
              <w:rPr>
                <w:rFonts w:ascii="Times New Roman" w:hAnsi="Times New Roman" w:cs="Times New Roman"/>
              </w:rPr>
              <w:t>.</w:t>
            </w:r>
          </w:p>
        </w:tc>
      </w:tr>
      <w:tr w:rsidR="006D6263" w:rsidRPr="00584929" w14:paraId="3285848A" w14:textId="77777777" w:rsidTr="00D94ED7">
        <w:tc>
          <w:tcPr>
            <w:tcW w:w="676" w:type="dxa"/>
            <w:shd w:val="clear" w:color="auto" w:fill="auto"/>
          </w:tcPr>
          <w:p w14:paraId="78697EC6"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023164A6" w14:textId="60E50DDC" w:rsidR="006D6263" w:rsidRPr="00584929" w:rsidRDefault="00AD3845"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3BEEEB61" w14:textId="58EEF7C7" w:rsidR="006D6263" w:rsidRPr="00584929" w:rsidRDefault="00AD3845" w:rsidP="004A29FC">
            <w:pPr>
              <w:rPr>
                <w:rFonts w:ascii="Times New Roman" w:hAnsi="Times New Roman" w:cs="Times New Roman"/>
              </w:rPr>
            </w:pPr>
            <w:r w:rsidRPr="00584929">
              <w:rPr>
                <w:rFonts w:ascii="Times New Roman" w:hAnsi="Times New Roman" w:cs="Times New Roman"/>
              </w:rPr>
              <w:t>Art. 28</w:t>
            </w:r>
          </w:p>
        </w:tc>
        <w:tc>
          <w:tcPr>
            <w:tcW w:w="5323" w:type="dxa"/>
            <w:shd w:val="clear" w:color="auto" w:fill="auto"/>
          </w:tcPr>
          <w:p w14:paraId="57C8AF1F" w14:textId="41B5AAF4" w:rsidR="00AD3845" w:rsidRPr="00584929" w:rsidRDefault="00AD3845" w:rsidP="00FD5309">
            <w:pPr>
              <w:jc w:val="both"/>
              <w:rPr>
                <w:rFonts w:ascii="Times New Roman" w:hAnsi="Times New Roman" w:cs="Times New Roman"/>
              </w:rPr>
            </w:pPr>
            <w:r w:rsidRPr="00584929">
              <w:rPr>
                <w:rFonts w:ascii="Times New Roman" w:hAnsi="Times New Roman" w:cs="Times New Roman"/>
              </w:rPr>
              <w:t xml:space="preserve">Art. 28 wymaga korekty z punktu widzenia spójności systemowej – ustawa może upoważnić ministra właściwego do spraw informatyzacji do przygotowania programu, co do którego wytyczne będą określone w sposób ustawowy. W tym kontekście należy zauważyć, że cele wskazane w art. 28 ust. 1 projektu, we wprowadzeniu do wyliczenia, powinny raczej stanowić wytyczne, co do sposobu przygotowania tego programu. Minister może również zostać upoważniony do wniesienia programu pod obrady Radzie Ministrów, jednakże Rada Ministrów powinna mieć możliwość, nie tylko przyjęcia, ale także </w:t>
            </w:r>
            <w:r w:rsidRPr="00584929">
              <w:rPr>
                <w:rFonts w:ascii="Times New Roman" w:hAnsi="Times New Roman" w:cs="Times New Roman"/>
              </w:rPr>
              <w:lastRenderedPageBreak/>
              <w:t xml:space="preserve">odrzucenia programu w wersji przedstawionej przez ministra lub zgłoszenia do niego uwag. Nie jest zatem dopuszczalne – jak stanowi aktualnie art. 28 ust. 3 - ograniczenia rozstrzygnięcia Rady Ministrów jedynie do „przyjęcia programu” w drodze uchwały na wniosek ministra. Wskazany wyżej sposób procedowania przyjęcia programu uzasadnia również fakt, że na podstawie ustawy dla potrzeb realizacji programu </w:t>
            </w:r>
            <w:r w:rsidR="00FD5309" w:rsidRPr="00584929">
              <w:rPr>
                <w:rFonts w:ascii="Times New Roman" w:hAnsi="Times New Roman" w:cs="Times New Roman"/>
              </w:rPr>
              <w:t>w </w:t>
            </w:r>
            <w:r w:rsidRPr="00584929">
              <w:rPr>
                <w:rFonts w:ascii="Times New Roman" w:hAnsi="Times New Roman" w:cs="Times New Roman"/>
              </w:rPr>
              <w:t>każdym ministerstwie oraz urzędzie centralnym będą powoływani pełnomocnicy do jego realizacji, podporządkowani organizacyjnie kierownikom jednostek organizacyjnych, a zatem zasadnym jest, aby zakres ich zadań wynikających z programu został zaakceptowany na poziomie międzyresortowym.</w:t>
            </w:r>
          </w:p>
        </w:tc>
        <w:tc>
          <w:tcPr>
            <w:tcW w:w="4785" w:type="dxa"/>
            <w:shd w:val="clear" w:color="auto" w:fill="auto"/>
          </w:tcPr>
          <w:p w14:paraId="646E2612" w14:textId="77777777" w:rsidR="001A4297" w:rsidRPr="00584929" w:rsidRDefault="00AD3845" w:rsidP="004A29FC">
            <w:pPr>
              <w:rPr>
                <w:rFonts w:ascii="Times New Roman" w:hAnsi="Times New Roman" w:cs="Times New Roman"/>
                <w:b/>
              </w:rPr>
            </w:pPr>
            <w:r w:rsidRPr="00584929">
              <w:rPr>
                <w:rFonts w:ascii="Times New Roman" w:hAnsi="Times New Roman" w:cs="Times New Roman"/>
                <w:b/>
              </w:rPr>
              <w:lastRenderedPageBreak/>
              <w:t xml:space="preserve">Uwaga </w:t>
            </w:r>
            <w:r w:rsidR="001A4297" w:rsidRPr="00584929">
              <w:rPr>
                <w:rFonts w:ascii="Times New Roman" w:hAnsi="Times New Roman" w:cs="Times New Roman"/>
                <w:b/>
              </w:rPr>
              <w:t>wyjaśniona</w:t>
            </w:r>
          </w:p>
          <w:p w14:paraId="197FC5D6" w14:textId="42F83502" w:rsidR="006D6263" w:rsidRPr="00584929" w:rsidRDefault="001A4297" w:rsidP="001A4297">
            <w:pPr>
              <w:jc w:val="both"/>
              <w:rPr>
                <w:rFonts w:ascii="Times New Roman" w:hAnsi="Times New Roman" w:cs="Times New Roman"/>
                <w:b/>
              </w:rPr>
            </w:pPr>
            <w:r w:rsidRPr="00584929">
              <w:rPr>
                <w:rFonts w:ascii="Times New Roman" w:hAnsi="Times New Roman" w:cs="Times New Roman"/>
              </w:rPr>
              <w:t>Przepis zostanie poddany dodatkowej analizie w ramach rozpatrzenia projektu ustawy przez Komisję prawniczą.</w:t>
            </w:r>
          </w:p>
          <w:p w14:paraId="48F322A9" w14:textId="2CB0CC08" w:rsidR="001A4297" w:rsidRPr="00584929" w:rsidRDefault="001A4297" w:rsidP="001A4297">
            <w:pPr>
              <w:jc w:val="both"/>
              <w:rPr>
                <w:rFonts w:ascii="Times New Roman" w:hAnsi="Times New Roman" w:cs="Times New Roman"/>
              </w:rPr>
            </w:pPr>
            <w:r w:rsidRPr="00584929">
              <w:rPr>
                <w:rFonts w:ascii="Times New Roman" w:hAnsi="Times New Roman" w:cs="Times New Roman"/>
              </w:rPr>
              <w:t xml:space="preserve">Zaproponowany w projekcie ustawy przepis upoważniający jest powszechnie stosowany w obowiązujących ustawach (np. ustawa z dnia 5 lipca 2018 r. o krajowym systemie cyberbezpieczeństwa, Dz. U. z 2020 r. poz. 1369), zawierająca analogiczne upoważnienie do wydania Strategii cyberbezpieczeństwa RP). Ponadto treść </w:t>
            </w:r>
            <w:r w:rsidRPr="00584929">
              <w:rPr>
                <w:rFonts w:ascii="Times New Roman" w:hAnsi="Times New Roman" w:cs="Times New Roman"/>
              </w:rPr>
              <w:lastRenderedPageBreak/>
              <w:t xml:space="preserve">upoważniania zawartego w projektowanym przepisie jest tożsama z treścią  art. 9e ustawy z dnia 6 września 2001 r. o dostępie do informacji (Dz. U. z 2020  r. poz. 2176) - podstawa prawna do opracowania Programu otwierania danych.  </w:t>
            </w:r>
          </w:p>
        </w:tc>
      </w:tr>
      <w:tr w:rsidR="006D6263" w:rsidRPr="00584929" w14:paraId="5C9C181D" w14:textId="77777777" w:rsidTr="00D94ED7">
        <w:tc>
          <w:tcPr>
            <w:tcW w:w="676" w:type="dxa"/>
            <w:shd w:val="clear" w:color="auto" w:fill="auto"/>
          </w:tcPr>
          <w:p w14:paraId="44517837"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047DA4C6" w14:textId="479611AC" w:rsidR="006D6263" w:rsidRPr="00584929" w:rsidRDefault="000728C0"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6326DFFF" w14:textId="62006D77" w:rsidR="006D6263" w:rsidRPr="00584929" w:rsidRDefault="000728C0" w:rsidP="004A29FC">
            <w:pPr>
              <w:rPr>
                <w:rFonts w:ascii="Times New Roman" w:hAnsi="Times New Roman" w:cs="Times New Roman"/>
              </w:rPr>
            </w:pPr>
            <w:r w:rsidRPr="00584929">
              <w:rPr>
                <w:rFonts w:ascii="Times New Roman" w:hAnsi="Times New Roman" w:cs="Times New Roman"/>
              </w:rPr>
              <w:t>Art. 29 ust. 2</w:t>
            </w:r>
          </w:p>
        </w:tc>
        <w:tc>
          <w:tcPr>
            <w:tcW w:w="5323" w:type="dxa"/>
            <w:shd w:val="clear" w:color="auto" w:fill="auto"/>
          </w:tcPr>
          <w:p w14:paraId="656C2FF2" w14:textId="4DC8FC3A" w:rsidR="006D6263" w:rsidRPr="00584929" w:rsidRDefault="000728C0" w:rsidP="00FD5309">
            <w:pPr>
              <w:jc w:val="both"/>
              <w:rPr>
                <w:rFonts w:ascii="Times New Roman" w:hAnsi="Times New Roman" w:cs="Times New Roman"/>
              </w:rPr>
            </w:pPr>
            <w:r w:rsidRPr="00584929">
              <w:rPr>
                <w:rFonts w:ascii="Times New Roman" w:hAnsi="Times New Roman" w:cs="Times New Roman"/>
              </w:rPr>
              <w:t>Art. 29 ust. 2 projektu ustawy przewiduje udostępnienie na portalu otwartych danych posiadanych informacji sektora publicznego oraz metadanych opisujących ich strukturę przez wszystkie podmioty zobowiązane. Z definicji podmiotu zo</w:t>
            </w:r>
            <w:r w:rsidR="00FD5309" w:rsidRPr="00584929">
              <w:rPr>
                <w:rFonts w:ascii="Times New Roman" w:hAnsi="Times New Roman" w:cs="Times New Roman"/>
              </w:rPr>
              <w:t>bowiązanego zawartej w </w:t>
            </w:r>
            <w:r w:rsidRPr="00584929">
              <w:rPr>
                <w:rFonts w:ascii="Times New Roman" w:hAnsi="Times New Roman" w:cs="Times New Roman"/>
              </w:rPr>
              <w:t xml:space="preserve">art. 3 projektu wynika, iż obowiązek ten dotykać będzie wszystkie sądy prowadzące rejestry oraz Ministra Sprawiedliwości utrzymującego bazy danych rejestrów sądowych. Należy zauważyć, iż projektowany przepis pozbawi jakiegokolwiek znaczenia regulacje dotyczące udostępniania informacji z rejestrów sądowych. Art. 30 ust. 1 pkt 1 projektu ustawy przewiduje kompetencję ministra do spraw </w:t>
            </w:r>
            <w:r w:rsidR="00FD5309" w:rsidRPr="00584929">
              <w:rPr>
                <w:rFonts w:ascii="Times New Roman" w:hAnsi="Times New Roman" w:cs="Times New Roman"/>
              </w:rPr>
              <w:t>informatyzacji do określenia, w </w:t>
            </w:r>
            <w:r w:rsidRPr="00584929">
              <w:rPr>
                <w:rFonts w:ascii="Times New Roman" w:hAnsi="Times New Roman" w:cs="Times New Roman"/>
              </w:rPr>
              <w:t xml:space="preserve">drodze rozporządzenia, zakresu informacji sektora publicznego przeznaczonych do udostępniania na portalu otwartych danych. Tak określona kompetencja w sposób nadmierny, a merytorycznie zbędny, kreuje kompetencje ministra do spraw informatyzacji do udostępniania na portalu </w:t>
            </w:r>
            <w:r w:rsidRPr="00584929">
              <w:rPr>
                <w:rFonts w:ascii="Times New Roman" w:hAnsi="Times New Roman" w:cs="Times New Roman"/>
              </w:rPr>
              <w:lastRenderedPageBreak/>
              <w:t>otwartych danych zawartości rejestrów sądowych. Dane z rejestrów sądowych posiadają włas</w:t>
            </w:r>
            <w:r w:rsidR="00FD5309" w:rsidRPr="00584929">
              <w:rPr>
                <w:rFonts w:ascii="Times New Roman" w:hAnsi="Times New Roman" w:cs="Times New Roman"/>
              </w:rPr>
              <w:t>ne systemy dystrybucji oparte o </w:t>
            </w:r>
            <w:r w:rsidRPr="00584929">
              <w:rPr>
                <w:rFonts w:ascii="Times New Roman" w:hAnsi="Times New Roman" w:cs="Times New Roman"/>
              </w:rPr>
              <w:t>dostępne w Internecie Centralne Informacje. Należy zwrócić uwagę, iż koncepcja portalu otwartych danych powielać będzie inform</w:t>
            </w:r>
            <w:r w:rsidR="00FD5309" w:rsidRPr="00584929">
              <w:rPr>
                <w:rFonts w:ascii="Times New Roman" w:hAnsi="Times New Roman" w:cs="Times New Roman"/>
              </w:rPr>
              <w:t>acje udostępniane przykładowo w </w:t>
            </w:r>
            <w:r w:rsidRPr="00584929">
              <w:rPr>
                <w:rFonts w:ascii="Times New Roman" w:hAnsi="Times New Roman" w:cs="Times New Roman"/>
              </w:rPr>
              <w:t>nowej kompetencji Centralnej Informacji KRS zawartej w dodawanym art. 4b ust. 2 ustawy o KRS (art. 48 projektu). Pod rozwagę należy zatem poddać koncepcję projektoda</w:t>
            </w:r>
            <w:r w:rsidR="00A57AB5" w:rsidRPr="00584929">
              <w:rPr>
                <w:rFonts w:ascii="Times New Roman" w:hAnsi="Times New Roman" w:cs="Times New Roman"/>
              </w:rPr>
              <w:t>wcy zawartą w art. 30 projektu.</w:t>
            </w:r>
          </w:p>
        </w:tc>
        <w:tc>
          <w:tcPr>
            <w:tcW w:w="4785" w:type="dxa"/>
            <w:shd w:val="clear" w:color="auto" w:fill="auto"/>
          </w:tcPr>
          <w:p w14:paraId="05DDA544" w14:textId="77777777" w:rsidR="000728C0" w:rsidRPr="00584929" w:rsidRDefault="000728C0" w:rsidP="004A29FC">
            <w:pPr>
              <w:rPr>
                <w:rFonts w:ascii="Times New Roman" w:hAnsi="Times New Roman" w:cs="Times New Roman"/>
                <w:b/>
                <w:shd w:val="clear" w:color="auto" w:fill="F9F9F9"/>
              </w:rPr>
            </w:pPr>
            <w:r w:rsidRPr="00584929">
              <w:rPr>
                <w:rFonts w:ascii="Times New Roman" w:hAnsi="Times New Roman" w:cs="Times New Roman"/>
                <w:b/>
                <w:shd w:val="clear" w:color="auto" w:fill="F9F9F9"/>
              </w:rPr>
              <w:lastRenderedPageBreak/>
              <w:t>Uwaga nieuwzględniona</w:t>
            </w:r>
          </w:p>
          <w:p w14:paraId="325947AC" w14:textId="6A39598C" w:rsidR="008D351E" w:rsidRPr="00584929" w:rsidRDefault="008D351E" w:rsidP="008D351E">
            <w:pPr>
              <w:jc w:val="both"/>
              <w:rPr>
                <w:rFonts w:ascii="Times New Roman" w:hAnsi="Times New Roman" w:cs="Times New Roman"/>
              </w:rPr>
            </w:pPr>
            <w:r w:rsidRPr="00584929">
              <w:rPr>
                <w:rFonts w:ascii="Times New Roman" w:hAnsi="Times New Roman" w:cs="Times New Roman"/>
              </w:rPr>
              <w:t>Zgodnie z § 68 Zasad techniki Prawodawczej upoważnieniu do wydania rozporządzenia można nadać charakter obligatoryjny albo fakultatywny. Rozstrzygnięcie co do tego, czy i kiedy wydać rozporządzenie, pozostawia się organowi upoważnianemu. W projektowanym art. 30 ust 1. ustawy przewidziano jedynie możliwość fakultatywnego wydania rozporządzenia, m.in. na wypadek nieprzewidzianych i nadzwyczajnych sytuacji takich jak epidemia COVID – 19. Taka konstrukcja już obecnie funkcjonuje w tzw. rozporządzeniu zasobowym</w:t>
            </w:r>
            <w:r w:rsidRPr="00584929">
              <w:rPr>
                <w:rStyle w:val="Odwoanieprzypisudolnego"/>
                <w:rFonts w:ascii="Times New Roman" w:hAnsi="Times New Roman" w:cs="Times New Roman"/>
              </w:rPr>
              <w:footnoteReference w:id="12"/>
            </w:r>
            <w:r w:rsidR="00C84837">
              <w:rPr>
                <w:rFonts w:ascii="Times New Roman" w:hAnsi="Times New Roman" w:cs="Times New Roman"/>
                <w:vertAlign w:val="superscript"/>
              </w:rPr>
              <w:t>)</w:t>
            </w:r>
            <w:r w:rsidRPr="00584929">
              <w:rPr>
                <w:rFonts w:ascii="Times New Roman" w:hAnsi="Times New Roman" w:cs="Times New Roman"/>
              </w:rPr>
              <w:t xml:space="preserve">, w którym są wskazane zbiory Ministra Sprawiedliwości (7 zasobów informacyjnych). </w:t>
            </w:r>
          </w:p>
          <w:p w14:paraId="02784FDA" w14:textId="5613D700" w:rsidR="006D6263" w:rsidRPr="00584929" w:rsidRDefault="008D351E" w:rsidP="008D351E">
            <w:pPr>
              <w:jc w:val="both"/>
              <w:rPr>
                <w:rFonts w:ascii="Times New Roman" w:hAnsi="Times New Roman" w:cs="Times New Roman"/>
              </w:rPr>
            </w:pPr>
            <w:r w:rsidRPr="00584929">
              <w:rPr>
                <w:rFonts w:ascii="Times New Roman" w:hAnsi="Times New Roman" w:cs="Times New Roman"/>
              </w:rPr>
              <w:t xml:space="preserve">Ponadto portal dane.gov.pl stanowi centralny punkt dostępu do danych, jest źródłem wiarygodnych, na bieżąco aktualizowanych danych, udostępnianych </w:t>
            </w:r>
            <w:r w:rsidRPr="00584929">
              <w:rPr>
                <w:rFonts w:ascii="Times New Roman" w:hAnsi="Times New Roman" w:cs="Times New Roman"/>
              </w:rPr>
              <w:lastRenderedPageBreak/>
              <w:t>bezpłatnie do ponownego wykorzystywania. Gwarantuje szybki dostęp do danych publicznych wielu instytucji w jednym miejscu. Istota funkcjonowania portalu nie powiela działalności Centralnej Informacji KRS.</w:t>
            </w:r>
          </w:p>
        </w:tc>
      </w:tr>
      <w:tr w:rsidR="006D6263" w:rsidRPr="00584929" w14:paraId="6B95380A" w14:textId="77777777" w:rsidTr="00D94ED7">
        <w:tc>
          <w:tcPr>
            <w:tcW w:w="676" w:type="dxa"/>
            <w:shd w:val="clear" w:color="auto" w:fill="auto"/>
          </w:tcPr>
          <w:p w14:paraId="163BF604"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1559B6EC" w14:textId="714F1942" w:rsidR="006D6263" w:rsidRPr="00584929" w:rsidRDefault="000728C0" w:rsidP="004A29FC">
            <w:pPr>
              <w:rPr>
                <w:rFonts w:ascii="Times New Roman" w:hAnsi="Times New Roman" w:cs="Times New Roman"/>
              </w:rPr>
            </w:pPr>
            <w:r w:rsidRPr="00584929">
              <w:rPr>
                <w:rFonts w:ascii="Times New Roman" w:hAnsi="Times New Roman" w:cs="Times New Roman"/>
              </w:rPr>
              <w:t>Kancelaria Prezesa Rady Ministrów</w:t>
            </w:r>
          </w:p>
        </w:tc>
        <w:tc>
          <w:tcPr>
            <w:tcW w:w="1526" w:type="dxa"/>
            <w:shd w:val="clear" w:color="auto" w:fill="auto"/>
          </w:tcPr>
          <w:p w14:paraId="2DCB2971" w14:textId="2371DA60" w:rsidR="006D6263" w:rsidRPr="00584929" w:rsidRDefault="000728C0" w:rsidP="004A29FC">
            <w:pPr>
              <w:rPr>
                <w:rFonts w:ascii="Times New Roman" w:hAnsi="Times New Roman" w:cs="Times New Roman"/>
              </w:rPr>
            </w:pPr>
            <w:r w:rsidRPr="00584929">
              <w:rPr>
                <w:rFonts w:ascii="Times New Roman" w:hAnsi="Times New Roman" w:cs="Times New Roman"/>
              </w:rPr>
              <w:t>Art. 29 ust. 2</w:t>
            </w:r>
          </w:p>
        </w:tc>
        <w:tc>
          <w:tcPr>
            <w:tcW w:w="5323" w:type="dxa"/>
            <w:shd w:val="clear" w:color="auto" w:fill="auto"/>
          </w:tcPr>
          <w:p w14:paraId="6601A63F" w14:textId="61D28AFD" w:rsidR="00B137D9" w:rsidRPr="00584929" w:rsidRDefault="000728C0" w:rsidP="00B137D9">
            <w:pPr>
              <w:jc w:val="both"/>
              <w:rPr>
                <w:rFonts w:ascii="Times New Roman" w:hAnsi="Times New Roman" w:cs="Times New Roman"/>
              </w:rPr>
            </w:pPr>
            <w:r w:rsidRPr="00584929">
              <w:rPr>
                <w:rFonts w:ascii="Times New Roman" w:hAnsi="Times New Roman" w:cs="Times New Roman"/>
              </w:rPr>
              <w:t>W art. 29 ust. 2 projektu proponuje się doprecyzować</w:t>
            </w:r>
            <w:r w:rsidR="00FD5309" w:rsidRPr="00584929">
              <w:rPr>
                <w:rFonts w:ascii="Times New Roman" w:hAnsi="Times New Roman" w:cs="Times New Roman"/>
              </w:rPr>
              <w:t>, że obowiązek udostępniania w  </w:t>
            </w:r>
            <w:r w:rsidRPr="00584929">
              <w:rPr>
                <w:rFonts w:ascii="Times New Roman" w:hAnsi="Times New Roman" w:cs="Times New Roman"/>
              </w:rPr>
              <w:t>portalu otwartych danych” dotyczy informacji, o których mowa w ust. 1 tj. jedynie danych „o szczególnym znaczeniu dla rozwoju innowacyjności w państwie i rozwoju społeczeństwa informacyjnego”. Obecna redakcja przepisu może prowadzić do wniosku, że obowiązek ten dot. wszystkich posiadanych informacji sektora publicznego oraz metadanych opisujących ich strukturę.</w:t>
            </w:r>
          </w:p>
        </w:tc>
        <w:tc>
          <w:tcPr>
            <w:tcW w:w="4785" w:type="dxa"/>
            <w:shd w:val="clear" w:color="auto" w:fill="auto"/>
          </w:tcPr>
          <w:p w14:paraId="3E60A567" w14:textId="77777777" w:rsidR="00B137D9" w:rsidRPr="00584929" w:rsidRDefault="000728C0" w:rsidP="00B137D9">
            <w:pPr>
              <w:rPr>
                <w:rFonts w:ascii="Times New Roman" w:hAnsi="Times New Roman" w:cs="Times New Roman"/>
                <w:b/>
              </w:rPr>
            </w:pPr>
            <w:r w:rsidRPr="00584929">
              <w:rPr>
                <w:rFonts w:ascii="Times New Roman" w:hAnsi="Times New Roman" w:cs="Times New Roman"/>
                <w:b/>
              </w:rPr>
              <w:t xml:space="preserve">Uwaga </w:t>
            </w:r>
            <w:r w:rsidR="00B137D9" w:rsidRPr="00584929">
              <w:rPr>
                <w:rFonts w:ascii="Times New Roman" w:hAnsi="Times New Roman" w:cs="Times New Roman"/>
                <w:b/>
              </w:rPr>
              <w:t>uwzględniona</w:t>
            </w:r>
          </w:p>
          <w:p w14:paraId="6853A2B0" w14:textId="0C114B57" w:rsidR="006D6263" w:rsidRPr="00584929" w:rsidRDefault="00B137D9" w:rsidP="00B137D9">
            <w:pPr>
              <w:rPr>
                <w:rFonts w:ascii="Times New Roman" w:hAnsi="Times New Roman" w:cs="Times New Roman"/>
              </w:rPr>
            </w:pPr>
            <w:r w:rsidRPr="00584929">
              <w:rPr>
                <w:rFonts w:ascii="Times New Roman" w:hAnsi="Times New Roman" w:cs="Times New Roman"/>
              </w:rPr>
              <w:t>Przepis zostanie zmieniony</w:t>
            </w:r>
            <w:r w:rsidR="008741D9" w:rsidRPr="00584929">
              <w:rPr>
                <w:rFonts w:ascii="Times New Roman" w:hAnsi="Times New Roman" w:cs="Times New Roman"/>
              </w:rPr>
              <w:t>.</w:t>
            </w:r>
            <w:r w:rsidRPr="00584929">
              <w:rPr>
                <w:rFonts w:ascii="Times New Roman" w:hAnsi="Times New Roman" w:cs="Times New Roman"/>
              </w:rPr>
              <w:t xml:space="preserve">  </w:t>
            </w:r>
          </w:p>
        </w:tc>
      </w:tr>
      <w:tr w:rsidR="006D6263" w:rsidRPr="00584929" w14:paraId="16BE6917" w14:textId="77777777" w:rsidTr="00D94ED7">
        <w:tc>
          <w:tcPr>
            <w:tcW w:w="676" w:type="dxa"/>
            <w:shd w:val="clear" w:color="auto" w:fill="auto"/>
          </w:tcPr>
          <w:p w14:paraId="1BD11514"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3F226952" w14:textId="51C93068" w:rsidR="006D6263" w:rsidRPr="00584929" w:rsidRDefault="00C12F25"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262F4C74" w14:textId="3C82AC24" w:rsidR="006D6263" w:rsidRPr="00584929" w:rsidRDefault="001047FD" w:rsidP="004A29FC">
            <w:pPr>
              <w:rPr>
                <w:rFonts w:ascii="Times New Roman" w:hAnsi="Times New Roman" w:cs="Times New Roman"/>
              </w:rPr>
            </w:pPr>
            <w:r w:rsidRPr="00584929">
              <w:rPr>
                <w:rFonts w:ascii="Times New Roman" w:hAnsi="Times New Roman" w:cs="Times New Roman"/>
              </w:rPr>
              <w:t>Art. 30</w:t>
            </w:r>
          </w:p>
        </w:tc>
        <w:tc>
          <w:tcPr>
            <w:tcW w:w="5323" w:type="dxa"/>
            <w:shd w:val="clear" w:color="auto" w:fill="auto"/>
          </w:tcPr>
          <w:p w14:paraId="7F94B390" w14:textId="4C718A24" w:rsidR="001047FD" w:rsidRPr="00584929" w:rsidRDefault="001047FD" w:rsidP="00FD5309">
            <w:pPr>
              <w:jc w:val="both"/>
              <w:rPr>
                <w:rFonts w:ascii="Times New Roman" w:hAnsi="Times New Roman" w:cs="Times New Roman"/>
              </w:rPr>
            </w:pPr>
            <w:r w:rsidRPr="00584929">
              <w:rPr>
                <w:rFonts w:ascii="Times New Roman" w:hAnsi="Times New Roman" w:cs="Times New Roman"/>
              </w:rPr>
              <w:t>W art. 30 projektu ustawy korekty wymagają odesłania, gdyż art. 29 ust. 2 nie odnosi się do określenia metadanych ani do sposobów ich udostępniania, a określa podmioty zobowiązane.</w:t>
            </w:r>
          </w:p>
        </w:tc>
        <w:tc>
          <w:tcPr>
            <w:tcW w:w="4785" w:type="dxa"/>
            <w:shd w:val="clear" w:color="auto" w:fill="auto"/>
          </w:tcPr>
          <w:p w14:paraId="05A9991F" w14:textId="77777777" w:rsidR="006D6263" w:rsidRPr="00584929" w:rsidRDefault="001047FD" w:rsidP="004A29FC">
            <w:pPr>
              <w:rPr>
                <w:rFonts w:ascii="Times New Roman" w:hAnsi="Times New Roman" w:cs="Times New Roman"/>
                <w:b/>
              </w:rPr>
            </w:pPr>
            <w:r w:rsidRPr="00584929">
              <w:rPr>
                <w:rFonts w:ascii="Times New Roman" w:hAnsi="Times New Roman" w:cs="Times New Roman"/>
                <w:b/>
              </w:rPr>
              <w:t>Uwaga uwzględniona</w:t>
            </w:r>
          </w:p>
          <w:p w14:paraId="06B988B6" w14:textId="51FAA4F6" w:rsidR="007259BA" w:rsidRPr="00584929" w:rsidRDefault="007259BA" w:rsidP="004A29FC">
            <w:pPr>
              <w:rPr>
                <w:rFonts w:ascii="Times New Roman" w:hAnsi="Times New Roman" w:cs="Times New Roman"/>
              </w:rPr>
            </w:pPr>
            <w:r w:rsidRPr="00584929">
              <w:rPr>
                <w:rFonts w:ascii="Times New Roman" w:hAnsi="Times New Roman" w:cs="Times New Roman"/>
              </w:rPr>
              <w:t>Przepis zostanie zmieniony</w:t>
            </w:r>
          </w:p>
        </w:tc>
      </w:tr>
      <w:tr w:rsidR="006D6263" w:rsidRPr="00584929" w14:paraId="50E502C8" w14:textId="77777777" w:rsidTr="00D94ED7">
        <w:tc>
          <w:tcPr>
            <w:tcW w:w="676" w:type="dxa"/>
            <w:shd w:val="clear" w:color="auto" w:fill="auto"/>
          </w:tcPr>
          <w:p w14:paraId="02D8530E"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3FF6DFB5" w14:textId="5CBC4189" w:rsidR="006D6263" w:rsidRPr="00584929" w:rsidRDefault="001047FD" w:rsidP="004A29FC">
            <w:pPr>
              <w:rPr>
                <w:rFonts w:ascii="Times New Roman" w:hAnsi="Times New Roman" w:cs="Times New Roman"/>
              </w:rPr>
            </w:pPr>
            <w:r w:rsidRPr="00584929">
              <w:rPr>
                <w:rFonts w:ascii="Times New Roman" w:hAnsi="Times New Roman" w:cs="Times New Roman"/>
              </w:rPr>
              <w:t>Ministerstwo Klimatu</w:t>
            </w:r>
          </w:p>
        </w:tc>
        <w:tc>
          <w:tcPr>
            <w:tcW w:w="1526" w:type="dxa"/>
            <w:shd w:val="clear" w:color="auto" w:fill="auto"/>
          </w:tcPr>
          <w:p w14:paraId="7CF0EF41" w14:textId="4FCF11B2" w:rsidR="006D6263" w:rsidRPr="00584929" w:rsidRDefault="001047FD" w:rsidP="004A29FC">
            <w:pPr>
              <w:rPr>
                <w:rFonts w:ascii="Times New Roman" w:hAnsi="Times New Roman" w:cs="Times New Roman"/>
              </w:rPr>
            </w:pPr>
            <w:r w:rsidRPr="00584929">
              <w:rPr>
                <w:rFonts w:ascii="Times New Roman" w:hAnsi="Times New Roman" w:cs="Times New Roman"/>
              </w:rPr>
              <w:t>Art. 30 ust. 2</w:t>
            </w:r>
          </w:p>
        </w:tc>
        <w:tc>
          <w:tcPr>
            <w:tcW w:w="5323" w:type="dxa"/>
            <w:shd w:val="clear" w:color="auto" w:fill="auto"/>
          </w:tcPr>
          <w:p w14:paraId="5C5B996F" w14:textId="77777777" w:rsidR="001047FD" w:rsidRPr="00584929" w:rsidRDefault="001047FD" w:rsidP="00FD5309">
            <w:pPr>
              <w:jc w:val="both"/>
              <w:rPr>
                <w:rFonts w:ascii="Times New Roman" w:hAnsi="Times New Roman" w:cs="Times New Roman"/>
              </w:rPr>
            </w:pPr>
            <w:r w:rsidRPr="00584929">
              <w:rPr>
                <w:rFonts w:ascii="Times New Roman" w:hAnsi="Times New Roman" w:cs="Times New Roman"/>
              </w:rPr>
              <w:t xml:space="preserve">Propozycja usunięcia przepisu. </w:t>
            </w:r>
          </w:p>
          <w:p w14:paraId="411A161C" w14:textId="77777777" w:rsidR="001047FD" w:rsidRPr="00584929" w:rsidRDefault="001047FD" w:rsidP="00FD5309">
            <w:pPr>
              <w:jc w:val="both"/>
              <w:rPr>
                <w:rFonts w:ascii="Times New Roman" w:hAnsi="Times New Roman" w:cs="Times New Roman"/>
              </w:rPr>
            </w:pPr>
            <w:r w:rsidRPr="00584929">
              <w:rPr>
                <w:rFonts w:ascii="Times New Roman" w:hAnsi="Times New Roman" w:cs="Times New Roman"/>
              </w:rPr>
              <w:t>Proponuje się usunięcie przepisu art. 30 ust. 2, gdyż jego treść powiela przepis art. 29 ust. 6. wskazującego obowiązki nałożone</w:t>
            </w:r>
          </w:p>
          <w:p w14:paraId="421792EA" w14:textId="7E373AD8" w:rsidR="001047FD" w:rsidRPr="00584929" w:rsidRDefault="001047FD" w:rsidP="00FD5309">
            <w:pPr>
              <w:jc w:val="both"/>
              <w:rPr>
                <w:rFonts w:ascii="Times New Roman" w:hAnsi="Times New Roman" w:cs="Times New Roman"/>
              </w:rPr>
            </w:pPr>
            <w:r w:rsidRPr="00584929">
              <w:rPr>
                <w:rFonts w:ascii="Times New Roman" w:hAnsi="Times New Roman" w:cs="Times New Roman"/>
              </w:rPr>
              <w:t>na podmioty zobowiązane.</w:t>
            </w:r>
          </w:p>
        </w:tc>
        <w:tc>
          <w:tcPr>
            <w:tcW w:w="4785" w:type="dxa"/>
            <w:shd w:val="clear" w:color="auto" w:fill="auto"/>
          </w:tcPr>
          <w:p w14:paraId="47BD4F03" w14:textId="77777777" w:rsidR="006D6263" w:rsidRPr="00584929" w:rsidRDefault="001047FD" w:rsidP="004A29FC">
            <w:pPr>
              <w:rPr>
                <w:rFonts w:ascii="Times New Roman" w:hAnsi="Times New Roman" w:cs="Times New Roman"/>
                <w:b/>
              </w:rPr>
            </w:pPr>
            <w:r w:rsidRPr="00584929">
              <w:rPr>
                <w:rFonts w:ascii="Times New Roman" w:hAnsi="Times New Roman" w:cs="Times New Roman"/>
                <w:b/>
              </w:rPr>
              <w:t>Uwaga uwzględniona</w:t>
            </w:r>
          </w:p>
          <w:p w14:paraId="1D6BF00E" w14:textId="73D2AADE" w:rsidR="00FC2551" w:rsidRPr="00584929" w:rsidRDefault="00FC2551" w:rsidP="004A29FC">
            <w:pPr>
              <w:rPr>
                <w:rFonts w:ascii="Times New Roman" w:hAnsi="Times New Roman" w:cs="Times New Roman"/>
              </w:rPr>
            </w:pPr>
            <w:r w:rsidRPr="00584929">
              <w:rPr>
                <w:rFonts w:ascii="Times New Roman" w:hAnsi="Times New Roman" w:cs="Times New Roman"/>
              </w:rPr>
              <w:t>Przepis zostanie zmieniony.</w:t>
            </w:r>
          </w:p>
        </w:tc>
      </w:tr>
      <w:tr w:rsidR="006D6263" w:rsidRPr="00584929" w14:paraId="7ACB71B2" w14:textId="77777777" w:rsidTr="00D94ED7">
        <w:tc>
          <w:tcPr>
            <w:tcW w:w="676" w:type="dxa"/>
            <w:shd w:val="clear" w:color="auto" w:fill="auto"/>
          </w:tcPr>
          <w:p w14:paraId="7DEEFF20" w14:textId="77777777" w:rsidR="006D6263" w:rsidRPr="00584929" w:rsidRDefault="006D6263" w:rsidP="004A29FC">
            <w:pPr>
              <w:pStyle w:val="Akapitzlist"/>
              <w:numPr>
                <w:ilvl w:val="0"/>
                <w:numId w:val="20"/>
              </w:numPr>
              <w:rPr>
                <w:sz w:val="22"/>
                <w:szCs w:val="22"/>
              </w:rPr>
            </w:pPr>
          </w:p>
        </w:tc>
        <w:tc>
          <w:tcPr>
            <w:tcW w:w="1968" w:type="dxa"/>
            <w:shd w:val="clear" w:color="auto" w:fill="auto"/>
          </w:tcPr>
          <w:p w14:paraId="54BE65D6" w14:textId="70EE7007" w:rsidR="006D6263" w:rsidRPr="00584929" w:rsidRDefault="00E65422"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27559C49" w14:textId="143B9BDF" w:rsidR="006D6263" w:rsidRPr="00584929" w:rsidRDefault="00E65422" w:rsidP="004A29FC">
            <w:pPr>
              <w:rPr>
                <w:rFonts w:ascii="Times New Roman" w:hAnsi="Times New Roman" w:cs="Times New Roman"/>
              </w:rPr>
            </w:pPr>
            <w:r w:rsidRPr="00584929">
              <w:rPr>
                <w:rFonts w:ascii="Times New Roman" w:hAnsi="Times New Roman" w:cs="Times New Roman"/>
              </w:rPr>
              <w:t>Art. 31</w:t>
            </w:r>
          </w:p>
        </w:tc>
        <w:tc>
          <w:tcPr>
            <w:tcW w:w="5323" w:type="dxa"/>
            <w:shd w:val="clear" w:color="auto" w:fill="auto"/>
          </w:tcPr>
          <w:p w14:paraId="1A595252" w14:textId="02F4E9F9" w:rsidR="00E65422" w:rsidRPr="00584929" w:rsidRDefault="00E65422" w:rsidP="00FD5309">
            <w:pPr>
              <w:jc w:val="both"/>
              <w:rPr>
                <w:rFonts w:ascii="Times New Roman" w:hAnsi="Times New Roman" w:cs="Times New Roman"/>
              </w:rPr>
            </w:pPr>
            <w:r w:rsidRPr="00584929">
              <w:rPr>
                <w:rFonts w:ascii="Times New Roman" w:hAnsi="Times New Roman" w:cs="Times New Roman"/>
              </w:rPr>
              <w:t>W art. 31 projektu ustawy – upoważnienie ustawowe zwarte w ust. 6 tego przepisu wymaga weryfikacji na etapie przygotowywania projektu aktu wykonawczego, czy nie będzie konieczne dookreślenie pewnych elementów trybu we</w:t>
            </w:r>
            <w:r w:rsidR="00FC2551" w:rsidRPr="00584929">
              <w:rPr>
                <w:rFonts w:ascii="Times New Roman" w:hAnsi="Times New Roman" w:cs="Times New Roman"/>
              </w:rPr>
              <w:t>zwania do usunięcia naruszeń, o </w:t>
            </w:r>
            <w:r w:rsidRPr="00584929">
              <w:rPr>
                <w:rFonts w:ascii="Times New Roman" w:hAnsi="Times New Roman" w:cs="Times New Roman"/>
              </w:rPr>
              <w:t>którym mowa w ust. 5 tego przepisu lub try</w:t>
            </w:r>
            <w:r w:rsidR="00FD5309" w:rsidRPr="00584929">
              <w:rPr>
                <w:rFonts w:ascii="Times New Roman" w:hAnsi="Times New Roman" w:cs="Times New Roman"/>
              </w:rPr>
              <w:t>bu weryfikacji, o której mowa w </w:t>
            </w:r>
            <w:r w:rsidRPr="00584929">
              <w:rPr>
                <w:rFonts w:ascii="Times New Roman" w:hAnsi="Times New Roman" w:cs="Times New Roman"/>
              </w:rPr>
              <w:t xml:space="preserve">ust. 4, korekty wymaga także </w:t>
            </w:r>
            <w:r w:rsidRPr="00584929">
              <w:rPr>
                <w:rFonts w:ascii="Times New Roman" w:hAnsi="Times New Roman" w:cs="Times New Roman"/>
              </w:rPr>
              <w:lastRenderedPageBreak/>
              <w:t>błędne odesłanie do art. 29 ust. 2, które dodatkowo ma charakter kaskadowy.</w:t>
            </w:r>
          </w:p>
        </w:tc>
        <w:tc>
          <w:tcPr>
            <w:tcW w:w="4785" w:type="dxa"/>
            <w:shd w:val="clear" w:color="auto" w:fill="auto"/>
          </w:tcPr>
          <w:p w14:paraId="704E3F33" w14:textId="77777777" w:rsidR="00FC2551" w:rsidRPr="00584929" w:rsidRDefault="00FC2551" w:rsidP="00FC2551">
            <w:pPr>
              <w:rPr>
                <w:rFonts w:ascii="Times New Roman" w:hAnsi="Times New Roman" w:cs="Times New Roman"/>
                <w:b/>
              </w:rPr>
            </w:pPr>
            <w:r w:rsidRPr="00584929">
              <w:rPr>
                <w:rFonts w:ascii="Times New Roman" w:hAnsi="Times New Roman" w:cs="Times New Roman"/>
                <w:b/>
              </w:rPr>
              <w:lastRenderedPageBreak/>
              <w:t>Wyjaśnienie</w:t>
            </w:r>
          </w:p>
          <w:p w14:paraId="55F92F9A" w14:textId="36244ED6" w:rsidR="00FC2551" w:rsidRPr="00584929" w:rsidRDefault="00FC2551" w:rsidP="00FC2551">
            <w:pPr>
              <w:rPr>
                <w:rFonts w:ascii="Times New Roman" w:hAnsi="Times New Roman" w:cs="Times New Roman"/>
              </w:rPr>
            </w:pPr>
            <w:r w:rsidRPr="00584929">
              <w:rPr>
                <w:rFonts w:ascii="Times New Roman" w:hAnsi="Times New Roman" w:cs="Times New Roman"/>
              </w:rPr>
              <w:t>Uwaga przyjęta do wiadomości.</w:t>
            </w:r>
          </w:p>
          <w:p w14:paraId="29F1373E" w14:textId="65BF3464" w:rsidR="00FC2551" w:rsidRPr="00584929" w:rsidRDefault="00FC2551" w:rsidP="00FC2551">
            <w:pPr>
              <w:jc w:val="both"/>
              <w:rPr>
                <w:rFonts w:ascii="Times New Roman" w:hAnsi="Times New Roman" w:cs="Times New Roman"/>
              </w:rPr>
            </w:pPr>
            <w:r w:rsidRPr="00584929">
              <w:rPr>
                <w:rFonts w:ascii="Times New Roman" w:hAnsi="Times New Roman" w:cs="Times New Roman"/>
              </w:rPr>
              <w:t xml:space="preserve">Dotychczasowa praktyka wskazuje, że projektowany  przepis jest wystarczający. Szczegółowy sposób kontroli zgodności ISP jest uregulowany w rozporządzenie Rady Ministrów z dnia 12 marca 2014r. w sprawie Centralnego </w:t>
            </w:r>
            <w:r w:rsidRPr="00584929">
              <w:rPr>
                <w:rFonts w:ascii="Times New Roman" w:hAnsi="Times New Roman" w:cs="Times New Roman"/>
              </w:rPr>
              <w:lastRenderedPageBreak/>
              <w:t>Repozytorium Informacji Publicznej (Dz. U. z 2014 r. poz. 361, z późn. zm.)</w:t>
            </w:r>
          </w:p>
          <w:p w14:paraId="070F60DD" w14:textId="77777777" w:rsidR="00DA6E2F" w:rsidRPr="00584929" w:rsidRDefault="00DA6E2F" w:rsidP="00FC2551">
            <w:pPr>
              <w:jc w:val="both"/>
              <w:rPr>
                <w:rFonts w:ascii="Times New Roman" w:hAnsi="Times New Roman" w:cs="Times New Roman"/>
              </w:rPr>
            </w:pPr>
          </w:p>
          <w:p w14:paraId="4D5A082D" w14:textId="18015B11" w:rsidR="00DA6E2F" w:rsidRPr="00584929" w:rsidRDefault="00DA6E2F" w:rsidP="00FC2551">
            <w:pPr>
              <w:jc w:val="both"/>
              <w:rPr>
                <w:rFonts w:ascii="Times New Roman" w:hAnsi="Times New Roman" w:cs="Times New Roman"/>
              </w:rPr>
            </w:pPr>
            <w:r w:rsidRPr="00584929">
              <w:rPr>
                <w:rFonts w:ascii="Times New Roman" w:hAnsi="Times New Roman" w:cs="Times New Roman"/>
              </w:rPr>
              <w:t>Uwaga uwzględniona</w:t>
            </w:r>
          </w:p>
          <w:p w14:paraId="6FB7D74C" w14:textId="137E4EA5" w:rsidR="00FC2551" w:rsidRPr="00584929" w:rsidRDefault="00FC2551" w:rsidP="00DA6E2F">
            <w:pPr>
              <w:jc w:val="both"/>
              <w:rPr>
                <w:rFonts w:ascii="Times New Roman" w:hAnsi="Times New Roman" w:cs="Times New Roman"/>
              </w:rPr>
            </w:pPr>
            <w:r w:rsidRPr="00584929">
              <w:rPr>
                <w:rFonts w:ascii="Times New Roman" w:hAnsi="Times New Roman" w:cs="Times New Roman"/>
              </w:rPr>
              <w:t xml:space="preserve">Błędne odesłanie do </w:t>
            </w:r>
            <w:r w:rsidR="00DA6E2F" w:rsidRPr="00584929">
              <w:rPr>
                <w:rFonts w:ascii="Times New Roman" w:hAnsi="Times New Roman" w:cs="Times New Roman"/>
              </w:rPr>
              <w:t xml:space="preserve">art. 29 ust. 2. Przepis zostanie zmieniony. </w:t>
            </w:r>
          </w:p>
        </w:tc>
      </w:tr>
      <w:tr w:rsidR="0092159A" w:rsidRPr="00584929" w14:paraId="2FB4BBE5" w14:textId="77777777" w:rsidTr="00D94ED7">
        <w:tc>
          <w:tcPr>
            <w:tcW w:w="676" w:type="dxa"/>
            <w:shd w:val="clear" w:color="auto" w:fill="auto"/>
          </w:tcPr>
          <w:p w14:paraId="4CB58DDD"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6C102D86" w14:textId="69DCC3EB" w:rsidR="0092159A" w:rsidRPr="00584929" w:rsidRDefault="00762C17" w:rsidP="004A29FC">
            <w:pPr>
              <w:rPr>
                <w:rFonts w:ascii="Times New Roman" w:hAnsi="Times New Roman" w:cs="Times New Roman"/>
              </w:rPr>
            </w:pPr>
            <w:r w:rsidRPr="00584929">
              <w:rPr>
                <w:rFonts w:ascii="Times New Roman" w:hAnsi="Times New Roman" w:cs="Times New Roman"/>
              </w:rPr>
              <w:t>Ministerstwo Spraw Wewnętrznych i Administracji</w:t>
            </w:r>
          </w:p>
        </w:tc>
        <w:tc>
          <w:tcPr>
            <w:tcW w:w="1526" w:type="dxa"/>
            <w:shd w:val="clear" w:color="auto" w:fill="auto"/>
          </w:tcPr>
          <w:p w14:paraId="43AF7081" w14:textId="67A40600" w:rsidR="0092159A" w:rsidRPr="00584929" w:rsidRDefault="00762C17" w:rsidP="004A29FC">
            <w:pPr>
              <w:rPr>
                <w:rFonts w:ascii="Times New Roman" w:hAnsi="Times New Roman" w:cs="Times New Roman"/>
              </w:rPr>
            </w:pPr>
            <w:r w:rsidRPr="00584929">
              <w:rPr>
                <w:rFonts w:ascii="Times New Roman" w:hAnsi="Times New Roman" w:cs="Times New Roman"/>
              </w:rPr>
              <w:t>Art. 32 ust. 7</w:t>
            </w:r>
          </w:p>
        </w:tc>
        <w:tc>
          <w:tcPr>
            <w:tcW w:w="5323" w:type="dxa"/>
            <w:shd w:val="clear" w:color="auto" w:fill="auto"/>
          </w:tcPr>
          <w:p w14:paraId="3C7BE466" w14:textId="69BE7D9B" w:rsidR="00762C17" w:rsidRPr="00584929" w:rsidRDefault="00762C17" w:rsidP="00FD5309">
            <w:pPr>
              <w:jc w:val="both"/>
              <w:rPr>
                <w:rFonts w:ascii="Times New Roman" w:hAnsi="Times New Roman" w:cs="Times New Roman"/>
              </w:rPr>
            </w:pPr>
            <w:r w:rsidRPr="00584929">
              <w:rPr>
                <w:rFonts w:ascii="Times New Roman" w:hAnsi="Times New Roman" w:cs="Times New Roman"/>
              </w:rPr>
              <w:t>W art. 32 ust. 7 wskazano, że „Minister właściwy do spraw informatyzacji może usunąć z portalu otwartych danych informacje sektora publicznego lub dane prywatne, które nie mają szczególnego znaczenia dla rozwoju innowacyjności w państwie i rozwoju społeczeństwa informacyjnego.”. Proponuje się doprecyzowanie regulacji dotyczącej usunięcia danych należących w taki sposób, aby było ono</w:t>
            </w:r>
            <w:r w:rsidR="00493D49" w:rsidRPr="00584929">
              <w:rPr>
                <w:rFonts w:ascii="Times New Roman" w:hAnsi="Times New Roman" w:cs="Times New Roman"/>
              </w:rPr>
              <w:t xml:space="preserve"> poprzedzone było konsultacją z </w:t>
            </w:r>
            <w:r w:rsidRPr="00584929">
              <w:rPr>
                <w:rFonts w:ascii="Times New Roman" w:hAnsi="Times New Roman" w:cs="Times New Roman"/>
              </w:rPr>
              <w:t>zainteresowanym podmiotem zobowiązanym.</w:t>
            </w:r>
          </w:p>
        </w:tc>
        <w:tc>
          <w:tcPr>
            <w:tcW w:w="4785" w:type="dxa"/>
            <w:shd w:val="clear" w:color="auto" w:fill="auto"/>
          </w:tcPr>
          <w:p w14:paraId="77D723D9" w14:textId="77777777" w:rsidR="0092159A" w:rsidRPr="00584929" w:rsidRDefault="00762C17" w:rsidP="004A29FC">
            <w:pPr>
              <w:rPr>
                <w:rFonts w:ascii="Times New Roman" w:hAnsi="Times New Roman" w:cs="Times New Roman"/>
                <w:b/>
              </w:rPr>
            </w:pPr>
            <w:r w:rsidRPr="00584929">
              <w:rPr>
                <w:rFonts w:ascii="Times New Roman" w:hAnsi="Times New Roman" w:cs="Times New Roman"/>
                <w:b/>
              </w:rPr>
              <w:t>Uwaga uwzględniona</w:t>
            </w:r>
          </w:p>
          <w:p w14:paraId="77F5E73B" w14:textId="6B7C5708" w:rsidR="00493D49" w:rsidRPr="00584929" w:rsidRDefault="00493D49" w:rsidP="00493D49">
            <w:pPr>
              <w:jc w:val="both"/>
              <w:rPr>
                <w:rFonts w:ascii="Times New Roman" w:hAnsi="Times New Roman" w:cs="Times New Roman"/>
                <w:b/>
              </w:rPr>
            </w:pPr>
            <w:r w:rsidRPr="00584929">
              <w:rPr>
                <w:rFonts w:ascii="Times New Roman" w:hAnsi="Times New Roman" w:cs="Times New Roman"/>
              </w:rPr>
              <w:t xml:space="preserve">Przepis zostanie zmieniony </w:t>
            </w:r>
          </w:p>
        </w:tc>
      </w:tr>
      <w:tr w:rsidR="0092159A" w:rsidRPr="00584929" w14:paraId="4B87205C" w14:textId="77777777" w:rsidTr="00D94ED7">
        <w:tc>
          <w:tcPr>
            <w:tcW w:w="676" w:type="dxa"/>
            <w:shd w:val="clear" w:color="auto" w:fill="auto"/>
          </w:tcPr>
          <w:p w14:paraId="38682F2B"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0FE666DB" w14:textId="0B54FC20" w:rsidR="0092159A" w:rsidRPr="00584929" w:rsidRDefault="00762C17" w:rsidP="004A29FC">
            <w:pPr>
              <w:rPr>
                <w:rFonts w:ascii="Times New Roman" w:hAnsi="Times New Roman" w:cs="Times New Roman"/>
              </w:rPr>
            </w:pPr>
            <w:r w:rsidRPr="00584929">
              <w:rPr>
                <w:rFonts w:ascii="Times New Roman" w:hAnsi="Times New Roman" w:cs="Times New Roman"/>
              </w:rPr>
              <w:t>Ministerstwo Rozwoju</w:t>
            </w:r>
          </w:p>
        </w:tc>
        <w:tc>
          <w:tcPr>
            <w:tcW w:w="1526" w:type="dxa"/>
            <w:shd w:val="clear" w:color="auto" w:fill="auto"/>
          </w:tcPr>
          <w:p w14:paraId="1504980F" w14:textId="500066B1" w:rsidR="0092159A" w:rsidRPr="00584929" w:rsidRDefault="00762C17" w:rsidP="004A29FC">
            <w:pPr>
              <w:rPr>
                <w:rFonts w:ascii="Times New Roman" w:hAnsi="Times New Roman" w:cs="Times New Roman"/>
              </w:rPr>
            </w:pPr>
            <w:r w:rsidRPr="00584929">
              <w:rPr>
                <w:rFonts w:ascii="Times New Roman" w:hAnsi="Times New Roman" w:cs="Times New Roman"/>
              </w:rPr>
              <w:t>Art. 33</w:t>
            </w:r>
          </w:p>
        </w:tc>
        <w:tc>
          <w:tcPr>
            <w:tcW w:w="5323" w:type="dxa"/>
            <w:shd w:val="clear" w:color="auto" w:fill="auto"/>
          </w:tcPr>
          <w:p w14:paraId="6C4A2946" w14:textId="71993958" w:rsidR="00762C17" w:rsidRPr="00584929" w:rsidRDefault="00762C17" w:rsidP="00FD5309">
            <w:pPr>
              <w:jc w:val="both"/>
              <w:rPr>
                <w:rFonts w:ascii="Times New Roman" w:hAnsi="Times New Roman" w:cs="Times New Roman"/>
              </w:rPr>
            </w:pPr>
            <w:r w:rsidRPr="00584929">
              <w:rPr>
                <w:rFonts w:ascii="Times New Roman" w:hAnsi="Times New Roman" w:cs="Times New Roman"/>
              </w:rPr>
              <w:t>Przepis stanowi, że podmioty udostępniające na portalu otwartych danych dane prywatne oraz metadane opisujące ich strukturę, ponoszą odpowie</w:t>
            </w:r>
            <w:r w:rsidR="00FD5309" w:rsidRPr="00584929">
              <w:rPr>
                <w:rFonts w:ascii="Times New Roman" w:hAnsi="Times New Roman" w:cs="Times New Roman"/>
              </w:rPr>
              <w:t>dzialność, o której mowa w art. </w:t>
            </w:r>
            <w:r w:rsidRPr="00584929">
              <w:rPr>
                <w:rFonts w:ascii="Times New Roman" w:hAnsi="Times New Roman" w:cs="Times New Roman"/>
              </w:rPr>
              <w:t>13 ust. 1. Lektura art. 13 ust. 1 prowadzi do wniosku, że w przepisie tym nie ma mowy o odpowiedzialności rozumianej jako ujemne konsekwencje ponoszone przez podmioty prawa w związku z zaistnieniem zdarzeń negatywnie ocenianych przez prawo. Powyższa jednostka redakcyjna statuuje jedynie pewne ściśle określone obowiązki po</w:t>
            </w:r>
            <w:r w:rsidR="00434AAF" w:rsidRPr="00584929">
              <w:rPr>
                <w:rFonts w:ascii="Times New Roman" w:hAnsi="Times New Roman" w:cs="Times New Roman"/>
              </w:rPr>
              <w:t>dmiotu zobowiązanego związane z </w:t>
            </w:r>
            <w:r w:rsidRPr="00584929">
              <w:rPr>
                <w:rFonts w:ascii="Times New Roman" w:hAnsi="Times New Roman" w:cs="Times New Roman"/>
              </w:rPr>
              <w:t>udostępnianiem lub przekazywaniem informacji sektora publicznego do ponownego wykorzystywania. Regulacja ta nie określa natomiast materialnych sankcji za naruszenie tych obowiązków ani</w:t>
            </w:r>
            <w:r w:rsidR="00FD5309" w:rsidRPr="00584929">
              <w:rPr>
                <w:rFonts w:ascii="Times New Roman" w:hAnsi="Times New Roman" w:cs="Times New Roman"/>
              </w:rPr>
              <w:t xml:space="preserve"> przesłanek ich zastosowania. W </w:t>
            </w:r>
            <w:r w:rsidRPr="00584929">
              <w:rPr>
                <w:rFonts w:ascii="Times New Roman" w:hAnsi="Times New Roman" w:cs="Times New Roman"/>
              </w:rPr>
              <w:t>związku z tym nieścisłe wydaje się odsyłanie do art. 13 ust. 1 w kwestii „odpowiedzialności”. Przepis mógłby zatem brzmieć: „Podmioty udostępniające na portalu otwartych danych dane prywatne oraz metadane opisujące ich strukturę, realizują obowiązki, o których mowa w art. 13 ust. 1”.</w:t>
            </w:r>
          </w:p>
        </w:tc>
        <w:tc>
          <w:tcPr>
            <w:tcW w:w="4785" w:type="dxa"/>
            <w:shd w:val="clear" w:color="auto" w:fill="auto"/>
          </w:tcPr>
          <w:p w14:paraId="176D307B" w14:textId="77777777" w:rsidR="0092159A" w:rsidRPr="00584929" w:rsidRDefault="00493D49" w:rsidP="004A29FC">
            <w:pPr>
              <w:rPr>
                <w:rFonts w:ascii="Times New Roman" w:hAnsi="Times New Roman" w:cs="Times New Roman"/>
                <w:b/>
              </w:rPr>
            </w:pPr>
            <w:r w:rsidRPr="00584929">
              <w:rPr>
                <w:rFonts w:ascii="Times New Roman" w:hAnsi="Times New Roman" w:cs="Times New Roman"/>
                <w:b/>
              </w:rPr>
              <w:t xml:space="preserve">Wyjaśnienie </w:t>
            </w:r>
            <w:r w:rsidR="00762C17" w:rsidRPr="00584929">
              <w:rPr>
                <w:rFonts w:ascii="Times New Roman" w:hAnsi="Times New Roman" w:cs="Times New Roman"/>
                <w:b/>
              </w:rPr>
              <w:t xml:space="preserve">  </w:t>
            </w:r>
          </w:p>
          <w:p w14:paraId="52E99AB3" w14:textId="77777777" w:rsidR="00434AAF" w:rsidRPr="00584929" w:rsidRDefault="00434AAF" w:rsidP="00434AAF">
            <w:pPr>
              <w:jc w:val="both"/>
              <w:rPr>
                <w:rFonts w:ascii="Times New Roman" w:hAnsi="Times New Roman" w:cs="Times New Roman"/>
              </w:rPr>
            </w:pPr>
            <w:r w:rsidRPr="00584929">
              <w:rPr>
                <w:rFonts w:ascii="Times New Roman" w:hAnsi="Times New Roman" w:cs="Times New Roman"/>
              </w:rPr>
              <w:t>Uwaga dot. wyjaśnienia charakteru odpowiedzialności nałożonej na podmiot zobowiązany na podstawie art. 13 projektu ustawy.</w:t>
            </w:r>
          </w:p>
          <w:p w14:paraId="7013093C" w14:textId="565D5FCC" w:rsidR="00434AAF" w:rsidRPr="00584929" w:rsidRDefault="00434AAF" w:rsidP="00434AAF">
            <w:pPr>
              <w:jc w:val="both"/>
              <w:rPr>
                <w:rFonts w:ascii="Times New Roman" w:hAnsi="Times New Roman" w:cs="Times New Roman"/>
              </w:rPr>
            </w:pPr>
            <w:r w:rsidRPr="00584929">
              <w:rPr>
                <w:rFonts w:ascii="Times New Roman" w:hAnsi="Times New Roman" w:cs="Times New Roman"/>
              </w:rPr>
              <w:t xml:space="preserve">Przepis zostanie zmieniony. Art. 13 ust. 1 projekt ustawy nie będzie formułował odpowiedzialności podmiotu zobowiązanego za udostępniane lub przekazywane ISP. W związku z powyższym przepis będący przedmiotem uwagi również zostanie zmieniony. </w:t>
            </w:r>
          </w:p>
          <w:p w14:paraId="741E5A9D" w14:textId="22563792" w:rsidR="00434AAF" w:rsidRPr="00584929" w:rsidRDefault="00434AAF" w:rsidP="004A29FC">
            <w:pPr>
              <w:rPr>
                <w:rFonts w:ascii="Times New Roman" w:hAnsi="Times New Roman" w:cs="Times New Roman"/>
                <w:b/>
              </w:rPr>
            </w:pPr>
          </w:p>
        </w:tc>
      </w:tr>
      <w:tr w:rsidR="0092159A" w:rsidRPr="00584929" w14:paraId="55431B0B" w14:textId="77777777" w:rsidTr="00D94ED7">
        <w:tc>
          <w:tcPr>
            <w:tcW w:w="676" w:type="dxa"/>
            <w:shd w:val="clear" w:color="auto" w:fill="auto"/>
          </w:tcPr>
          <w:p w14:paraId="6CB73ED4"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4CF23018" w14:textId="2A09DCCC" w:rsidR="0092159A" w:rsidRPr="00584929" w:rsidRDefault="00762C17" w:rsidP="004A29FC">
            <w:pPr>
              <w:rPr>
                <w:rFonts w:ascii="Times New Roman" w:hAnsi="Times New Roman" w:cs="Times New Roman"/>
              </w:rPr>
            </w:pPr>
            <w:r w:rsidRPr="00584929">
              <w:rPr>
                <w:rFonts w:ascii="Times New Roman" w:hAnsi="Times New Roman" w:cs="Times New Roman"/>
              </w:rPr>
              <w:t>Kancelaria Prezesa Rady Ministrów</w:t>
            </w:r>
          </w:p>
        </w:tc>
        <w:tc>
          <w:tcPr>
            <w:tcW w:w="1526" w:type="dxa"/>
            <w:shd w:val="clear" w:color="auto" w:fill="auto"/>
          </w:tcPr>
          <w:p w14:paraId="022BE3E9" w14:textId="74A66C73" w:rsidR="0092159A" w:rsidRPr="00584929" w:rsidRDefault="00762C17" w:rsidP="004A29FC">
            <w:pPr>
              <w:rPr>
                <w:rFonts w:ascii="Times New Roman" w:hAnsi="Times New Roman" w:cs="Times New Roman"/>
              </w:rPr>
            </w:pPr>
            <w:r w:rsidRPr="00584929">
              <w:rPr>
                <w:rFonts w:ascii="Times New Roman" w:hAnsi="Times New Roman" w:cs="Times New Roman"/>
              </w:rPr>
              <w:t>Art. 35 ust. 2-4</w:t>
            </w:r>
          </w:p>
        </w:tc>
        <w:tc>
          <w:tcPr>
            <w:tcW w:w="5323" w:type="dxa"/>
            <w:shd w:val="clear" w:color="auto" w:fill="auto"/>
          </w:tcPr>
          <w:p w14:paraId="68D3174B" w14:textId="5DDD8A6D" w:rsidR="00762C17" w:rsidRPr="00584929" w:rsidRDefault="00762C17" w:rsidP="00FD5309">
            <w:pPr>
              <w:jc w:val="both"/>
              <w:rPr>
                <w:rFonts w:ascii="Times New Roman" w:hAnsi="Times New Roman" w:cs="Times New Roman"/>
              </w:rPr>
            </w:pPr>
            <w:r w:rsidRPr="00584929">
              <w:rPr>
                <w:rFonts w:ascii="Times New Roman" w:hAnsi="Times New Roman" w:cs="Times New Roman"/>
              </w:rPr>
              <w:t>Niezrozumiała jest relacja między wyznaczaniem Pełnomocnika (art. 35 ust. 2 i 3 projektu) a powoływaniem Pełnomocnika w drodze zarządzenia (art. 35 ust. 4 projektu). Wydawanie zarządzenia w tej sprawie wydaje się zbędne, skoro utworzenie funkcji Pełnomocnika następuje na podstawie przepisu ustawowego. Wystarczające jest wyznaczenie osoby do pełnienia tej funkcji.</w:t>
            </w:r>
          </w:p>
        </w:tc>
        <w:tc>
          <w:tcPr>
            <w:tcW w:w="4785" w:type="dxa"/>
            <w:shd w:val="clear" w:color="auto" w:fill="auto"/>
          </w:tcPr>
          <w:p w14:paraId="5C5B2A80" w14:textId="77777777" w:rsidR="0092159A" w:rsidRPr="00584929" w:rsidRDefault="00F42870" w:rsidP="00434AAF">
            <w:pPr>
              <w:rPr>
                <w:rFonts w:ascii="Times New Roman" w:hAnsi="Times New Roman" w:cs="Times New Roman"/>
                <w:b/>
              </w:rPr>
            </w:pPr>
            <w:r w:rsidRPr="00584929">
              <w:rPr>
                <w:rFonts w:ascii="Times New Roman" w:hAnsi="Times New Roman" w:cs="Times New Roman"/>
                <w:b/>
              </w:rPr>
              <w:t xml:space="preserve">Uwaga </w:t>
            </w:r>
            <w:r w:rsidR="00434AAF" w:rsidRPr="00584929">
              <w:rPr>
                <w:rFonts w:ascii="Times New Roman" w:hAnsi="Times New Roman" w:cs="Times New Roman"/>
                <w:b/>
              </w:rPr>
              <w:t xml:space="preserve">uwzględniona </w:t>
            </w:r>
          </w:p>
          <w:p w14:paraId="05317430" w14:textId="554E0C6B" w:rsidR="00434AAF" w:rsidRPr="00584929" w:rsidRDefault="00434AAF" w:rsidP="00434AAF">
            <w:pPr>
              <w:rPr>
                <w:rFonts w:ascii="Times New Roman" w:hAnsi="Times New Roman" w:cs="Times New Roman"/>
              </w:rPr>
            </w:pPr>
            <w:r w:rsidRPr="00584929">
              <w:rPr>
                <w:rFonts w:ascii="Times New Roman" w:hAnsi="Times New Roman" w:cs="Times New Roman"/>
              </w:rPr>
              <w:t xml:space="preserve">Przepisy zostaną zmienione. </w:t>
            </w:r>
          </w:p>
        </w:tc>
      </w:tr>
      <w:tr w:rsidR="0092159A" w:rsidRPr="00584929" w14:paraId="369AE51A" w14:textId="77777777" w:rsidTr="00D94ED7">
        <w:tc>
          <w:tcPr>
            <w:tcW w:w="676" w:type="dxa"/>
            <w:shd w:val="clear" w:color="auto" w:fill="auto"/>
          </w:tcPr>
          <w:p w14:paraId="69CCAC79"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6C019611" w14:textId="14CB647B" w:rsidR="0092159A" w:rsidRPr="00584929" w:rsidRDefault="009C2C19" w:rsidP="004A29FC">
            <w:pPr>
              <w:rPr>
                <w:rFonts w:ascii="Times New Roman" w:hAnsi="Times New Roman" w:cs="Times New Roman"/>
              </w:rPr>
            </w:pPr>
            <w:r w:rsidRPr="00584929">
              <w:rPr>
                <w:rFonts w:ascii="Times New Roman" w:hAnsi="Times New Roman" w:cs="Times New Roman"/>
              </w:rPr>
              <w:t>Kancelaria Prezesa Rady Ministrów</w:t>
            </w:r>
          </w:p>
        </w:tc>
        <w:tc>
          <w:tcPr>
            <w:tcW w:w="1526" w:type="dxa"/>
            <w:shd w:val="clear" w:color="auto" w:fill="auto"/>
          </w:tcPr>
          <w:p w14:paraId="13E6EA89" w14:textId="1C0C0C76" w:rsidR="0092159A" w:rsidRPr="00584929" w:rsidRDefault="009C2C19" w:rsidP="004A29FC">
            <w:pPr>
              <w:rPr>
                <w:rFonts w:ascii="Times New Roman" w:hAnsi="Times New Roman" w:cs="Times New Roman"/>
              </w:rPr>
            </w:pPr>
            <w:r w:rsidRPr="00584929">
              <w:rPr>
                <w:rFonts w:ascii="Times New Roman" w:hAnsi="Times New Roman" w:cs="Times New Roman"/>
              </w:rPr>
              <w:t>Art. 35 ust. 3</w:t>
            </w:r>
          </w:p>
        </w:tc>
        <w:tc>
          <w:tcPr>
            <w:tcW w:w="5323" w:type="dxa"/>
            <w:shd w:val="clear" w:color="auto" w:fill="auto"/>
          </w:tcPr>
          <w:p w14:paraId="1CC05407" w14:textId="17145CC1" w:rsidR="009C2C19" w:rsidRPr="00584929" w:rsidRDefault="009C2C19" w:rsidP="00FD5309">
            <w:pPr>
              <w:jc w:val="both"/>
              <w:rPr>
                <w:rFonts w:ascii="Times New Roman" w:hAnsi="Times New Roman" w:cs="Times New Roman"/>
              </w:rPr>
            </w:pPr>
            <w:r w:rsidRPr="00584929">
              <w:rPr>
                <w:rFonts w:ascii="Times New Roman" w:hAnsi="Times New Roman" w:cs="Times New Roman"/>
              </w:rPr>
              <w:t>Ze względu na art. 93 ust. 1 Konstytucji Program Otwierania Danych, jako uchwała Rady Ministrów, nie może wiązać organów (jednostek organizacyjnych), które nie są organizacyjnie podległe Radzie Ministrów. Oznacza to, że Program nie może wiązać Szefa Kancelarii Sejmu, Szefa Kancelarii Senatu, Szefa Kancelarii Prezydenta, Rzecznika Praw Obywatelskich, Prezesa Narodowego Banku Polskiego, Prezesa Najwyższej Izby Kontroli i Krajowej Rady Radiofonii i Telewizji. W efekcie tworzenie sieci Pełnomocników z udziałem Pełnomocników powoływanych przez te organy wydaje się niecelowe. Jeżeli osiągnięcie celów ustawy (wdrażanej dyrektywy) wymaga wyposażenia ministra właściwego do spraw informatyzacji w możliwość władczego oddziaływania na wymienione podmioty (za pośrednictwem Pełnomocników) Program powinien być przyjmowany przez Radę Ministrów w drodze rozporządzenia.</w:t>
            </w:r>
          </w:p>
        </w:tc>
        <w:tc>
          <w:tcPr>
            <w:tcW w:w="4785" w:type="dxa"/>
            <w:shd w:val="clear" w:color="auto" w:fill="auto"/>
          </w:tcPr>
          <w:p w14:paraId="46BE9E43" w14:textId="77777777" w:rsidR="0092159A" w:rsidRPr="00584929" w:rsidRDefault="00434AAF" w:rsidP="004A29FC">
            <w:pPr>
              <w:rPr>
                <w:rFonts w:ascii="Times New Roman" w:hAnsi="Times New Roman" w:cs="Times New Roman"/>
                <w:b/>
              </w:rPr>
            </w:pPr>
            <w:r w:rsidRPr="00584929">
              <w:rPr>
                <w:rFonts w:ascii="Times New Roman" w:hAnsi="Times New Roman" w:cs="Times New Roman"/>
                <w:b/>
              </w:rPr>
              <w:t xml:space="preserve">Uwaga uwzględniona </w:t>
            </w:r>
          </w:p>
          <w:p w14:paraId="1964443F" w14:textId="4CB2311F" w:rsidR="00434AAF" w:rsidRPr="00584929" w:rsidRDefault="00434AAF" w:rsidP="004A29FC">
            <w:pPr>
              <w:rPr>
                <w:rFonts w:ascii="Times New Roman" w:hAnsi="Times New Roman" w:cs="Times New Roman"/>
              </w:rPr>
            </w:pPr>
            <w:r w:rsidRPr="00584929">
              <w:rPr>
                <w:rFonts w:ascii="Times New Roman" w:hAnsi="Times New Roman" w:cs="Times New Roman"/>
              </w:rPr>
              <w:t xml:space="preserve">Przepisy zostaną zmienione.  </w:t>
            </w:r>
          </w:p>
        </w:tc>
      </w:tr>
      <w:tr w:rsidR="0092159A" w:rsidRPr="00584929" w14:paraId="461EB32E" w14:textId="77777777" w:rsidTr="00D94ED7">
        <w:tc>
          <w:tcPr>
            <w:tcW w:w="676" w:type="dxa"/>
            <w:shd w:val="clear" w:color="auto" w:fill="auto"/>
          </w:tcPr>
          <w:p w14:paraId="164A8AF6"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44C1B757" w14:textId="726019F1" w:rsidR="0092159A" w:rsidRPr="00584929" w:rsidRDefault="009C2C19" w:rsidP="004A29FC">
            <w:pPr>
              <w:rPr>
                <w:rFonts w:ascii="Times New Roman" w:hAnsi="Times New Roman" w:cs="Times New Roman"/>
              </w:rPr>
            </w:pPr>
            <w:r w:rsidRPr="00584929">
              <w:rPr>
                <w:rFonts w:ascii="Times New Roman" w:hAnsi="Times New Roman" w:cs="Times New Roman"/>
              </w:rPr>
              <w:t>Ministerstwo Spraw Wewnętrznych i Administracji</w:t>
            </w:r>
          </w:p>
        </w:tc>
        <w:tc>
          <w:tcPr>
            <w:tcW w:w="1526" w:type="dxa"/>
            <w:shd w:val="clear" w:color="auto" w:fill="auto"/>
          </w:tcPr>
          <w:p w14:paraId="56A35261" w14:textId="47C6229D" w:rsidR="0092159A" w:rsidRPr="00584929" w:rsidRDefault="009C2C19" w:rsidP="004A29FC">
            <w:pPr>
              <w:rPr>
                <w:rFonts w:ascii="Times New Roman" w:hAnsi="Times New Roman" w:cs="Times New Roman"/>
              </w:rPr>
            </w:pPr>
            <w:r w:rsidRPr="00584929">
              <w:rPr>
                <w:rFonts w:ascii="Times New Roman" w:hAnsi="Times New Roman" w:cs="Times New Roman"/>
              </w:rPr>
              <w:t>Art. 35 ust. 3</w:t>
            </w:r>
          </w:p>
        </w:tc>
        <w:tc>
          <w:tcPr>
            <w:tcW w:w="5323" w:type="dxa"/>
            <w:shd w:val="clear" w:color="auto" w:fill="auto"/>
          </w:tcPr>
          <w:p w14:paraId="529C41E8" w14:textId="6A87FCC2" w:rsidR="0092159A" w:rsidRPr="00584929" w:rsidRDefault="009C2C19" w:rsidP="00FD5309">
            <w:pPr>
              <w:jc w:val="both"/>
              <w:rPr>
                <w:rFonts w:ascii="Times New Roman" w:hAnsi="Times New Roman" w:cs="Times New Roman"/>
              </w:rPr>
            </w:pPr>
            <w:r w:rsidRPr="00584929">
              <w:rPr>
                <w:rFonts w:ascii="Times New Roman" w:hAnsi="Times New Roman" w:cs="Times New Roman"/>
              </w:rPr>
              <w:t xml:space="preserve">W art. 35 w ust. 3 wskazano katalog podmiotów uprawnionych do wyznaczenia Pełnomocników do spraw otwartości danych. Projekt ustawy nie rozstrzyga ewentualnej wątpliwości w zakresie zależności pomiędzy Pełnomocnikami, o których mowa w ust. 3 a Pełnomocnikami wyznaczonymi przez właściwych ministrów, o których mowa w ust. 2. Wątpliwość taka powstanie w przypadku, gdy urząd centralny jest jednocześnie jednostką podległą lub nadzorowaną przez </w:t>
            </w:r>
            <w:r w:rsidRPr="00584929">
              <w:rPr>
                <w:rFonts w:ascii="Times New Roman" w:hAnsi="Times New Roman" w:cs="Times New Roman"/>
              </w:rPr>
              <w:lastRenderedPageBreak/>
              <w:t>właściwego ministra. Niejasne jest np. czy Pełnomocnik z urzędu centralnego podległego właściwemu ministrowi przedstawia Koordynatorowi Programu Otwierania Danych harmonogram udostępniania nowych danych samodzielnie, czy za pośrednictwem Pełnomocnika powołanego we właściwym ministerstwie. Dodatkowo wskazuję, że zasadnym byłoby zdefiniowanie w projekcie pojęcia „urzędu centralnego” bądź odesłanie do odpowiedniej definicji.</w:t>
            </w:r>
          </w:p>
        </w:tc>
        <w:tc>
          <w:tcPr>
            <w:tcW w:w="4785" w:type="dxa"/>
            <w:shd w:val="clear" w:color="auto" w:fill="auto"/>
          </w:tcPr>
          <w:p w14:paraId="36DA6DAD" w14:textId="1DDA2715" w:rsidR="0092159A" w:rsidRPr="00584929" w:rsidRDefault="00434AAF" w:rsidP="004A29FC">
            <w:pPr>
              <w:rPr>
                <w:rFonts w:ascii="Times New Roman" w:hAnsi="Times New Roman" w:cs="Times New Roman"/>
                <w:b/>
              </w:rPr>
            </w:pPr>
            <w:r w:rsidRPr="00584929">
              <w:rPr>
                <w:rFonts w:ascii="Times New Roman" w:hAnsi="Times New Roman" w:cs="Times New Roman"/>
                <w:b/>
              </w:rPr>
              <w:lastRenderedPageBreak/>
              <w:t xml:space="preserve">Uwaga uwzględniona </w:t>
            </w:r>
          </w:p>
          <w:p w14:paraId="551A1663" w14:textId="68475B2C" w:rsidR="00434AAF" w:rsidRPr="00584929" w:rsidRDefault="00434AAF" w:rsidP="004A29FC">
            <w:pPr>
              <w:rPr>
                <w:rFonts w:ascii="Times New Roman" w:hAnsi="Times New Roman" w:cs="Times New Roman"/>
              </w:rPr>
            </w:pPr>
            <w:r w:rsidRPr="00584929">
              <w:rPr>
                <w:rFonts w:ascii="Times New Roman" w:hAnsi="Times New Roman" w:cs="Times New Roman"/>
              </w:rPr>
              <w:t xml:space="preserve">Przepis zostanie zmieniony. </w:t>
            </w:r>
          </w:p>
          <w:p w14:paraId="4F9945FC" w14:textId="25011DA1" w:rsidR="00434AAF" w:rsidRPr="00584929" w:rsidRDefault="00434AAF" w:rsidP="004A29FC">
            <w:pPr>
              <w:rPr>
                <w:rFonts w:ascii="Times New Roman" w:hAnsi="Times New Roman" w:cs="Times New Roman"/>
                <w:b/>
              </w:rPr>
            </w:pPr>
          </w:p>
        </w:tc>
      </w:tr>
      <w:tr w:rsidR="0092159A" w:rsidRPr="00584929" w14:paraId="682F850A" w14:textId="77777777" w:rsidTr="00D94ED7">
        <w:tc>
          <w:tcPr>
            <w:tcW w:w="676" w:type="dxa"/>
            <w:shd w:val="clear" w:color="auto" w:fill="auto"/>
          </w:tcPr>
          <w:p w14:paraId="352189CD"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62B0439B" w14:textId="27214665" w:rsidR="0092159A" w:rsidRPr="00584929" w:rsidRDefault="00962F73" w:rsidP="004A29FC">
            <w:pPr>
              <w:rPr>
                <w:rFonts w:ascii="Times New Roman" w:hAnsi="Times New Roman" w:cs="Times New Roman"/>
              </w:rPr>
            </w:pPr>
            <w:r w:rsidRPr="00584929">
              <w:rPr>
                <w:rFonts w:ascii="Times New Roman" w:hAnsi="Times New Roman" w:cs="Times New Roman"/>
              </w:rPr>
              <w:t>Kancelaria Prezesa Rady Ministrów</w:t>
            </w:r>
          </w:p>
        </w:tc>
        <w:tc>
          <w:tcPr>
            <w:tcW w:w="1526" w:type="dxa"/>
            <w:shd w:val="clear" w:color="auto" w:fill="auto"/>
          </w:tcPr>
          <w:p w14:paraId="1F1E6BC0" w14:textId="1F289917" w:rsidR="0092159A" w:rsidRPr="00584929" w:rsidRDefault="00962F73" w:rsidP="004A29FC">
            <w:pPr>
              <w:rPr>
                <w:rFonts w:ascii="Times New Roman" w:hAnsi="Times New Roman" w:cs="Times New Roman"/>
              </w:rPr>
            </w:pPr>
            <w:r w:rsidRPr="00584929">
              <w:rPr>
                <w:rFonts w:ascii="Times New Roman" w:hAnsi="Times New Roman" w:cs="Times New Roman"/>
              </w:rPr>
              <w:t>Art. 35</w:t>
            </w:r>
          </w:p>
        </w:tc>
        <w:tc>
          <w:tcPr>
            <w:tcW w:w="5323" w:type="dxa"/>
            <w:shd w:val="clear" w:color="auto" w:fill="auto"/>
          </w:tcPr>
          <w:p w14:paraId="6D186171" w14:textId="033713D6" w:rsidR="00962F73" w:rsidRPr="00584929" w:rsidRDefault="00962F73" w:rsidP="00FD5309">
            <w:pPr>
              <w:jc w:val="both"/>
              <w:rPr>
                <w:rFonts w:ascii="Times New Roman" w:hAnsi="Times New Roman" w:cs="Times New Roman"/>
              </w:rPr>
            </w:pPr>
            <w:r w:rsidRPr="00584929">
              <w:rPr>
                <w:rFonts w:ascii="Times New Roman" w:hAnsi="Times New Roman" w:cs="Times New Roman"/>
              </w:rPr>
              <w:t>Proponuje się uzupełnienie projektu o regulacje dotyczące kręgu osób, spośród których Pełnomocnik mógłby być wyznaczony, w szczególności przez ograniczenie tylko do osób zatrudnionych (pełniących służbę) w danym urzędzie.</w:t>
            </w:r>
          </w:p>
        </w:tc>
        <w:tc>
          <w:tcPr>
            <w:tcW w:w="4785" w:type="dxa"/>
            <w:shd w:val="clear" w:color="auto" w:fill="auto"/>
          </w:tcPr>
          <w:p w14:paraId="72FFFBB7" w14:textId="77777777" w:rsidR="00434AAF" w:rsidRPr="00584929" w:rsidRDefault="00F42870" w:rsidP="00434AAF">
            <w:pPr>
              <w:rPr>
                <w:rFonts w:ascii="Times New Roman" w:hAnsi="Times New Roman" w:cs="Times New Roman"/>
                <w:b/>
              </w:rPr>
            </w:pPr>
            <w:r w:rsidRPr="00584929">
              <w:rPr>
                <w:rFonts w:ascii="Times New Roman" w:hAnsi="Times New Roman" w:cs="Times New Roman"/>
                <w:b/>
              </w:rPr>
              <w:t xml:space="preserve">Uwaga </w:t>
            </w:r>
            <w:r w:rsidR="00434AAF" w:rsidRPr="00584929">
              <w:rPr>
                <w:rFonts w:ascii="Times New Roman" w:hAnsi="Times New Roman" w:cs="Times New Roman"/>
                <w:b/>
              </w:rPr>
              <w:t>uwzględniona</w:t>
            </w:r>
          </w:p>
          <w:p w14:paraId="5B5F0AD5" w14:textId="48D32ADA" w:rsidR="0092159A" w:rsidRPr="00584929" w:rsidRDefault="00434AAF" w:rsidP="00434AAF">
            <w:pPr>
              <w:rPr>
                <w:rFonts w:ascii="Times New Roman" w:hAnsi="Times New Roman" w:cs="Times New Roman"/>
              </w:rPr>
            </w:pPr>
            <w:r w:rsidRPr="00584929">
              <w:rPr>
                <w:rFonts w:ascii="Times New Roman" w:hAnsi="Times New Roman" w:cs="Times New Roman"/>
              </w:rPr>
              <w:t xml:space="preserve">Przepis zostanie zmieniony.  </w:t>
            </w:r>
          </w:p>
        </w:tc>
      </w:tr>
      <w:tr w:rsidR="0092159A" w:rsidRPr="00584929" w14:paraId="15C191FC" w14:textId="77777777" w:rsidTr="00D94ED7">
        <w:tc>
          <w:tcPr>
            <w:tcW w:w="676" w:type="dxa"/>
            <w:shd w:val="clear" w:color="auto" w:fill="auto"/>
          </w:tcPr>
          <w:p w14:paraId="351D569F"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4190F2A5" w14:textId="7DA9519E" w:rsidR="0092159A" w:rsidRPr="00584929" w:rsidRDefault="00962F73" w:rsidP="004A29FC">
            <w:pPr>
              <w:rPr>
                <w:rFonts w:ascii="Times New Roman" w:hAnsi="Times New Roman" w:cs="Times New Roman"/>
              </w:rPr>
            </w:pPr>
            <w:r w:rsidRPr="00584929">
              <w:rPr>
                <w:rFonts w:ascii="Times New Roman" w:hAnsi="Times New Roman" w:cs="Times New Roman"/>
              </w:rPr>
              <w:t>Ministerstwo Rozwoju</w:t>
            </w:r>
          </w:p>
        </w:tc>
        <w:tc>
          <w:tcPr>
            <w:tcW w:w="1526" w:type="dxa"/>
            <w:shd w:val="clear" w:color="auto" w:fill="auto"/>
          </w:tcPr>
          <w:p w14:paraId="70B97875" w14:textId="36C2F3E2" w:rsidR="0092159A" w:rsidRPr="00584929" w:rsidRDefault="00962F73" w:rsidP="004A29FC">
            <w:pPr>
              <w:rPr>
                <w:rFonts w:ascii="Times New Roman" w:hAnsi="Times New Roman" w:cs="Times New Roman"/>
              </w:rPr>
            </w:pPr>
            <w:r w:rsidRPr="00584929">
              <w:rPr>
                <w:rFonts w:ascii="Times New Roman" w:hAnsi="Times New Roman" w:cs="Times New Roman"/>
              </w:rPr>
              <w:t>Art. 36</w:t>
            </w:r>
          </w:p>
        </w:tc>
        <w:tc>
          <w:tcPr>
            <w:tcW w:w="5323" w:type="dxa"/>
            <w:shd w:val="clear" w:color="auto" w:fill="auto"/>
          </w:tcPr>
          <w:p w14:paraId="164F1C83" w14:textId="1CFEA9DB" w:rsidR="00962F73" w:rsidRPr="00584929" w:rsidRDefault="00962F73" w:rsidP="002046FA">
            <w:pPr>
              <w:jc w:val="both"/>
              <w:rPr>
                <w:rFonts w:ascii="Times New Roman" w:hAnsi="Times New Roman" w:cs="Times New Roman"/>
              </w:rPr>
            </w:pPr>
            <w:r w:rsidRPr="00584929">
              <w:rPr>
                <w:rFonts w:ascii="Times New Roman" w:hAnsi="Times New Roman" w:cs="Times New Roman"/>
              </w:rPr>
              <w:t>W art. 36 proponujemy otwarcie katalogu zadań Koordynatora P</w:t>
            </w:r>
            <w:r w:rsidR="003E2E7E" w:rsidRPr="00584929">
              <w:rPr>
                <w:rFonts w:ascii="Times New Roman" w:hAnsi="Times New Roman" w:cs="Times New Roman"/>
              </w:rPr>
              <w:t>rogramu poprzez dodanie słów „w </w:t>
            </w:r>
            <w:r w:rsidRPr="00584929">
              <w:rPr>
                <w:rFonts w:ascii="Times New Roman" w:hAnsi="Times New Roman" w:cs="Times New Roman"/>
              </w:rPr>
              <w:t>szczególności”.</w:t>
            </w:r>
          </w:p>
        </w:tc>
        <w:tc>
          <w:tcPr>
            <w:tcW w:w="4785" w:type="dxa"/>
            <w:shd w:val="clear" w:color="auto" w:fill="auto"/>
          </w:tcPr>
          <w:p w14:paraId="2778A79E" w14:textId="77777777" w:rsidR="0092159A" w:rsidRPr="00584929" w:rsidRDefault="00434AAF" w:rsidP="004A29FC">
            <w:pPr>
              <w:rPr>
                <w:rFonts w:ascii="Times New Roman" w:hAnsi="Times New Roman" w:cs="Times New Roman"/>
                <w:b/>
              </w:rPr>
            </w:pPr>
            <w:r w:rsidRPr="00584929">
              <w:rPr>
                <w:rFonts w:ascii="Times New Roman" w:hAnsi="Times New Roman" w:cs="Times New Roman"/>
                <w:b/>
              </w:rPr>
              <w:t>Uwaga uwzględniona</w:t>
            </w:r>
          </w:p>
          <w:p w14:paraId="740598BD" w14:textId="36641115" w:rsidR="00434AAF" w:rsidRPr="00584929" w:rsidRDefault="00434AAF" w:rsidP="004A29FC">
            <w:pPr>
              <w:rPr>
                <w:rFonts w:ascii="Times New Roman" w:hAnsi="Times New Roman" w:cs="Times New Roman"/>
              </w:rPr>
            </w:pPr>
            <w:r w:rsidRPr="00584929">
              <w:rPr>
                <w:rFonts w:ascii="Times New Roman" w:hAnsi="Times New Roman" w:cs="Times New Roman"/>
              </w:rPr>
              <w:t>Przepis zostanie zmieniony.</w:t>
            </w:r>
          </w:p>
        </w:tc>
      </w:tr>
      <w:tr w:rsidR="000414C3" w:rsidRPr="00584929" w14:paraId="55907766" w14:textId="77777777" w:rsidTr="00D94ED7">
        <w:tc>
          <w:tcPr>
            <w:tcW w:w="676" w:type="dxa"/>
            <w:shd w:val="clear" w:color="auto" w:fill="auto"/>
          </w:tcPr>
          <w:p w14:paraId="41BCE5D2" w14:textId="77777777" w:rsidR="000414C3" w:rsidRPr="00584929" w:rsidRDefault="000414C3" w:rsidP="004A29FC">
            <w:pPr>
              <w:pStyle w:val="Akapitzlist"/>
              <w:numPr>
                <w:ilvl w:val="0"/>
                <w:numId w:val="20"/>
              </w:numPr>
              <w:rPr>
                <w:sz w:val="22"/>
                <w:szCs w:val="22"/>
              </w:rPr>
            </w:pPr>
          </w:p>
        </w:tc>
        <w:tc>
          <w:tcPr>
            <w:tcW w:w="1968" w:type="dxa"/>
            <w:shd w:val="clear" w:color="auto" w:fill="auto"/>
          </w:tcPr>
          <w:p w14:paraId="06C97C04" w14:textId="7A85A168" w:rsidR="000414C3" w:rsidRPr="00584929" w:rsidRDefault="000414C3" w:rsidP="004A29FC">
            <w:pPr>
              <w:rPr>
                <w:rFonts w:ascii="Times New Roman" w:hAnsi="Times New Roman" w:cs="Times New Roman"/>
              </w:rPr>
            </w:pPr>
            <w:r w:rsidRPr="00584929">
              <w:rPr>
                <w:rFonts w:ascii="Times New Roman" w:hAnsi="Times New Roman" w:cs="Times New Roman"/>
              </w:rPr>
              <w:t>Ministerstwo Spraw Wewnętrznych i Administracji</w:t>
            </w:r>
          </w:p>
        </w:tc>
        <w:tc>
          <w:tcPr>
            <w:tcW w:w="1526" w:type="dxa"/>
            <w:shd w:val="clear" w:color="auto" w:fill="auto"/>
          </w:tcPr>
          <w:p w14:paraId="7AA746F1" w14:textId="7882BFE9" w:rsidR="000414C3" w:rsidRPr="00584929" w:rsidRDefault="000414C3" w:rsidP="004A29FC">
            <w:pPr>
              <w:rPr>
                <w:rFonts w:ascii="Times New Roman" w:hAnsi="Times New Roman" w:cs="Times New Roman"/>
              </w:rPr>
            </w:pPr>
            <w:r w:rsidRPr="00584929">
              <w:rPr>
                <w:rFonts w:ascii="Times New Roman" w:hAnsi="Times New Roman" w:cs="Times New Roman"/>
              </w:rPr>
              <w:t>Art. 36</w:t>
            </w:r>
          </w:p>
        </w:tc>
        <w:tc>
          <w:tcPr>
            <w:tcW w:w="5323" w:type="dxa"/>
            <w:shd w:val="clear" w:color="auto" w:fill="auto"/>
          </w:tcPr>
          <w:p w14:paraId="32A53386" w14:textId="77777777" w:rsidR="000414C3" w:rsidRPr="00584929" w:rsidRDefault="000414C3" w:rsidP="002046FA">
            <w:pPr>
              <w:jc w:val="both"/>
              <w:rPr>
                <w:rFonts w:ascii="Times New Roman" w:hAnsi="Times New Roman" w:cs="Times New Roman"/>
              </w:rPr>
            </w:pPr>
            <w:r w:rsidRPr="00584929">
              <w:rPr>
                <w:rFonts w:ascii="Times New Roman" w:hAnsi="Times New Roman" w:cs="Times New Roman"/>
              </w:rPr>
              <w:t>Proponuje się uzupełnić art. 36 projektu poprzez wskazanie obowiązku Koordynatora polegającego na weryfikacji harmonogramu udostępniania nowych informacji w zakresie spełnienia warunków, o których mowa w art. 29 ust. 1 i 4.</w:t>
            </w:r>
          </w:p>
          <w:p w14:paraId="7E59932B" w14:textId="73417EAA" w:rsidR="000414C3" w:rsidRPr="00584929" w:rsidRDefault="000414C3" w:rsidP="004A29FC">
            <w:pPr>
              <w:rPr>
                <w:rFonts w:ascii="Times New Roman" w:hAnsi="Times New Roman" w:cs="Times New Roman"/>
              </w:rPr>
            </w:pPr>
          </w:p>
        </w:tc>
        <w:tc>
          <w:tcPr>
            <w:tcW w:w="4785" w:type="dxa"/>
            <w:shd w:val="clear" w:color="auto" w:fill="auto"/>
          </w:tcPr>
          <w:p w14:paraId="37F01C5C" w14:textId="77777777" w:rsidR="000414C3" w:rsidRPr="00584929" w:rsidRDefault="000414C3" w:rsidP="004A29FC">
            <w:pPr>
              <w:rPr>
                <w:rFonts w:ascii="Times New Roman" w:hAnsi="Times New Roman" w:cs="Times New Roman"/>
                <w:b/>
              </w:rPr>
            </w:pPr>
            <w:r w:rsidRPr="00584929">
              <w:rPr>
                <w:rFonts w:ascii="Times New Roman" w:hAnsi="Times New Roman" w:cs="Times New Roman"/>
                <w:b/>
              </w:rPr>
              <w:t>Uwaga uwzględniona</w:t>
            </w:r>
          </w:p>
          <w:p w14:paraId="4D6FD022" w14:textId="09E27FD6" w:rsidR="00434AAF" w:rsidRPr="00584929" w:rsidRDefault="00434AAF" w:rsidP="004A29FC">
            <w:pPr>
              <w:rPr>
                <w:rFonts w:ascii="Times New Roman" w:hAnsi="Times New Roman" w:cs="Times New Roman"/>
              </w:rPr>
            </w:pPr>
            <w:r w:rsidRPr="00584929">
              <w:rPr>
                <w:rFonts w:ascii="Times New Roman" w:hAnsi="Times New Roman" w:cs="Times New Roman"/>
              </w:rPr>
              <w:t>Przepis zostanie zmieniony.</w:t>
            </w:r>
          </w:p>
        </w:tc>
      </w:tr>
      <w:tr w:rsidR="0092159A" w:rsidRPr="00584929" w14:paraId="4B175798" w14:textId="77777777" w:rsidTr="00D94ED7">
        <w:tc>
          <w:tcPr>
            <w:tcW w:w="676" w:type="dxa"/>
            <w:shd w:val="clear" w:color="auto" w:fill="auto"/>
          </w:tcPr>
          <w:p w14:paraId="0ADDFC51"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03A8D8AA" w14:textId="77777777" w:rsidR="00962F73" w:rsidRPr="00584929" w:rsidRDefault="00962F73" w:rsidP="004A29FC">
            <w:pPr>
              <w:rPr>
                <w:rFonts w:ascii="Times New Roman" w:hAnsi="Times New Roman" w:cs="Times New Roman"/>
              </w:rPr>
            </w:pPr>
            <w:r w:rsidRPr="00584929">
              <w:rPr>
                <w:rFonts w:ascii="Times New Roman" w:hAnsi="Times New Roman" w:cs="Times New Roman"/>
              </w:rPr>
              <w:t>Kancelaria Prezesa Rady Ministrów</w:t>
            </w:r>
          </w:p>
          <w:p w14:paraId="0125708B" w14:textId="77777777" w:rsidR="0092159A" w:rsidRPr="00584929" w:rsidRDefault="0092159A" w:rsidP="004A29FC">
            <w:pPr>
              <w:rPr>
                <w:rFonts w:ascii="Times New Roman" w:hAnsi="Times New Roman" w:cs="Times New Roman"/>
              </w:rPr>
            </w:pPr>
          </w:p>
        </w:tc>
        <w:tc>
          <w:tcPr>
            <w:tcW w:w="1526" w:type="dxa"/>
            <w:shd w:val="clear" w:color="auto" w:fill="auto"/>
          </w:tcPr>
          <w:p w14:paraId="145B320E" w14:textId="50333169" w:rsidR="0092159A" w:rsidRPr="00584929" w:rsidRDefault="00962F73" w:rsidP="004A29FC">
            <w:pPr>
              <w:rPr>
                <w:rFonts w:ascii="Times New Roman" w:hAnsi="Times New Roman" w:cs="Times New Roman"/>
              </w:rPr>
            </w:pPr>
            <w:r w:rsidRPr="00584929">
              <w:rPr>
                <w:rFonts w:ascii="Times New Roman" w:hAnsi="Times New Roman" w:cs="Times New Roman"/>
              </w:rPr>
              <w:t>Art. 36 i 37</w:t>
            </w:r>
          </w:p>
        </w:tc>
        <w:tc>
          <w:tcPr>
            <w:tcW w:w="5323" w:type="dxa"/>
            <w:shd w:val="clear" w:color="auto" w:fill="auto"/>
          </w:tcPr>
          <w:p w14:paraId="099C075A" w14:textId="62518C72" w:rsidR="0092159A" w:rsidRPr="00584929" w:rsidRDefault="00962F73" w:rsidP="002046FA">
            <w:pPr>
              <w:jc w:val="both"/>
              <w:rPr>
                <w:rFonts w:ascii="Times New Roman" w:hAnsi="Times New Roman" w:cs="Times New Roman"/>
              </w:rPr>
            </w:pPr>
            <w:r w:rsidRPr="00584929">
              <w:rPr>
                <w:rFonts w:ascii="Times New Roman" w:hAnsi="Times New Roman" w:cs="Times New Roman"/>
              </w:rPr>
              <w:t xml:space="preserve">Sposób sformułowania </w:t>
            </w:r>
            <w:r w:rsidR="003E2E7E" w:rsidRPr="00584929">
              <w:rPr>
                <w:rFonts w:ascii="Times New Roman" w:hAnsi="Times New Roman" w:cs="Times New Roman"/>
              </w:rPr>
              <w:t>zadań Pełnomocnika, zwłaszcza w </w:t>
            </w:r>
            <w:r w:rsidRPr="00584929">
              <w:rPr>
                <w:rFonts w:ascii="Times New Roman" w:hAnsi="Times New Roman" w:cs="Times New Roman"/>
              </w:rPr>
              <w:t>relacji do Koordynatora Programu, wydaje się sugerować, że Pełnomocnikowi będą przysługiwać pewne kompetencje o charakterze władczym w stosunku do pracowników urzędów, w których jest powołany, i</w:t>
            </w:r>
            <w:r w:rsidR="003E2E7E" w:rsidRPr="00584929">
              <w:rPr>
                <w:rFonts w:ascii="Times New Roman" w:hAnsi="Times New Roman" w:cs="Times New Roman"/>
              </w:rPr>
              <w:t> </w:t>
            </w:r>
            <w:r w:rsidRPr="00584929">
              <w:rPr>
                <w:rFonts w:ascii="Times New Roman" w:hAnsi="Times New Roman" w:cs="Times New Roman"/>
              </w:rPr>
              <w:t>w</w:t>
            </w:r>
            <w:r w:rsidR="003E2E7E" w:rsidRPr="00584929">
              <w:rPr>
                <w:rFonts w:ascii="Times New Roman" w:hAnsi="Times New Roman" w:cs="Times New Roman"/>
              </w:rPr>
              <w:t> </w:t>
            </w:r>
            <w:r w:rsidRPr="00584929">
              <w:rPr>
                <w:rFonts w:ascii="Times New Roman" w:hAnsi="Times New Roman" w:cs="Times New Roman"/>
              </w:rPr>
              <w:t xml:space="preserve">stosunku do organów (jednostek organizacyjnych) podporządkowanych. Również Koordynator Programu miałby mieć </w:t>
            </w:r>
            <w:r w:rsidR="003E2E7E" w:rsidRPr="00584929">
              <w:rPr>
                <w:rFonts w:ascii="Times New Roman" w:hAnsi="Times New Roman" w:cs="Times New Roman"/>
              </w:rPr>
              <w:t>wpływ na poszczególne urzędy, w </w:t>
            </w:r>
            <w:r w:rsidRPr="00584929">
              <w:rPr>
                <w:rFonts w:ascii="Times New Roman" w:hAnsi="Times New Roman" w:cs="Times New Roman"/>
              </w:rPr>
              <w:t>bezpośrednim</w:t>
            </w:r>
            <w:r w:rsidR="003E2E7E" w:rsidRPr="00584929">
              <w:rPr>
                <w:rFonts w:ascii="Times New Roman" w:hAnsi="Times New Roman" w:cs="Times New Roman"/>
              </w:rPr>
              <w:t xml:space="preserve"> kontakcie z Pełnomocnikiem i z </w:t>
            </w:r>
            <w:r w:rsidRPr="00584929">
              <w:rPr>
                <w:rFonts w:ascii="Times New Roman" w:hAnsi="Times New Roman" w:cs="Times New Roman"/>
              </w:rPr>
              <w:t xml:space="preserve">pominięciem kierownika urzędu. Taka koncepcja byłaby nie do przyjęcia. Rola Pełnomocnika powinna być ograniczona do udzielania kierownikowi urzędu wsparcia </w:t>
            </w:r>
            <w:r w:rsidRPr="00584929">
              <w:rPr>
                <w:rFonts w:ascii="Times New Roman" w:hAnsi="Times New Roman" w:cs="Times New Roman"/>
              </w:rPr>
              <w:lastRenderedPageBreak/>
              <w:t>eksperckiego we wdrażaniu Programu, a rola Koordynatora do monitorowania wdrażania Programu (ewentualnie z wykorzystaniem informacji przeka</w:t>
            </w:r>
            <w:r w:rsidR="002046FA" w:rsidRPr="00584929">
              <w:rPr>
                <w:rFonts w:ascii="Times New Roman" w:hAnsi="Times New Roman" w:cs="Times New Roman"/>
              </w:rPr>
              <w:t>zywanych przez Pełnomocników) i </w:t>
            </w:r>
            <w:r w:rsidRPr="00584929">
              <w:rPr>
                <w:rFonts w:ascii="Times New Roman" w:hAnsi="Times New Roman" w:cs="Times New Roman"/>
              </w:rPr>
              <w:t>proponowania koniecznych zmian Programu oraz</w:t>
            </w:r>
            <w:r w:rsidR="002046FA" w:rsidRPr="00584929">
              <w:rPr>
                <w:rFonts w:ascii="Times New Roman" w:hAnsi="Times New Roman" w:cs="Times New Roman"/>
              </w:rPr>
              <w:t xml:space="preserve"> do edukowania Pełnomocników (w </w:t>
            </w:r>
            <w:r w:rsidRPr="00584929">
              <w:rPr>
                <w:rFonts w:ascii="Times New Roman" w:hAnsi="Times New Roman" w:cs="Times New Roman"/>
              </w:rPr>
              <w:t>celu zagwarantowania jednolitego podejścia w całej administracji rządowej).</w:t>
            </w:r>
          </w:p>
        </w:tc>
        <w:tc>
          <w:tcPr>
            <w:tcW w:w="4785" w:type="dxa"/>
            <w:shd w:val="clear" w:color="auto" w:fill="auto"/>
          </w:tcPr>
          <w:p w14:paraId="19FE6E3E" w14:textId="6F47A4FD" w:rsidR="00962F73" w:rsidRPr="00584929" w:rsidRDefault="00962F73" w:rsidP="004A29FC">
            <w:pPr>
              <w:rPr>
                <w:rFonts w:ascii="Times New Roman" w:hAnsi="Times New Roman" w:cs="Times New Roman"/>
                <w:b/>
              </w:rPr>
            </w:pPr>
            <w:r w:rsidRPr="00584929">
              <w:rPr>
                <w:rFonts w:ascii="Times New Roman" w:hAnsi="Times New Roman" w:cs="Times New Roman"/>
                <w:b/>
              </w:rPr>
              <w:lastRenderedPageBreak/>
              <w:t xml:space="preserve">Uwaga </w:t>
            </w:r>
            <w:r w:rsidR="00434AAF" w:rsidRPr="00584929">
              <w:rPr>
                <w:rFonts w:ascii="Times New Roman" w:hAnsi="Times New Roman" w:cs="Times New Roman"/>
                <w:b/>
              </w:rPr>
              <w:t xml:space="preserve">wyjaśniona </w:t>
            </w:r>
            <w:r w:rsidRPr="00584929">
              <w:rPr>
                <w:rFonts w:ascii="Times New Roman" w:hAnsi="Times New Roman" w:cs="Times New Roman"/>
                <w:b/>
              </w:rPr>
              <w:t xml:space="preserve">  </w:t>
            </w:r>
          </w:p>
          <w:p w14:paraId="41D2B284" w14:textId="402CD692" w:rsidR="0092159A" w:rsidRPr="00584929" w:rsidRDefault="00434AAF" w:rsidP="008741D9">
            <w:pPr>
              <w:jc w:val="both"/>
              <w:rPr>
                <w:rFonts w:ascii="Times New Roman" w:hAnsi="Times New Roman" w:cs="Times New Roman"/>
              </w:rPr>
            </w:pPr>
            <w:r w:rsidRPr="00584929">
              <w:rPr>
                <w:rFonts w:ascii="Times New Roman" w:hAnsi="Times New Roman" w:cs="Times New Roman"/>
              </w:rPr>
              <w:t>Przepisy zostaną zmienione. Jako realizatorów Programu wskazan</w:t>
            </w:r>
            <w:r w:rsidR="008741D9" w:rsidRPr="00584929">
              <w:rPr>
                <w:rFonts w:ascii="Times New Roman" w:hAnsi="Times New Roman" w:cs="Times New Roman"/>
              </w:rPr>
              <w:t>i zostaną członkowie</w:t>
            </w:r>
            <w:r w:rsidRPr="00584929">
              <w:rPr>
                <w:rFonts w:ascii="Times New Roman" w:hAnsi="Times New Roman" w:cs="Times New Roman"/>
              </w:rPr>
              <w:t xml:space="preserve"> Rady Ministrów oraz Preze</w:t>
            </w:r>
            <w:r w:rsidR="008741D9" w:rsidRPr="00584929">
              <w:rPr>
                <w:rFonts w:ascii="Times New Roman" w:hAnsi="Times New Roman" w:cs="Times New Roman"/>
              </w:rPr>
              <w:t>s</w:t>
            </w:r>
            <w:r w:rsidRPr="00584929">
              <w:rPr>
                <w:rFonts w:ascii="Times New Roman" w:hAnsi="Times New Roman" w:cs="Times New Roman"/>
              </w:rPr>
              <w:t xml:space="preserve"> Głównego Urzędu Statystycznego. Natomiast Pełnomocnikom przypisan</w:t>
            </w:r>
            <w:r w:rsidR="008741D9" w:rsidRPr="00584929">
              <w:rPr>
                <w:rFonts w:ascii="Times New Roman" w:hAnsi="Times New Roman" w:cs="Times New Roman"/>
              </w:rPr>
              <w:t>a zostanie</w:t>
            </w:r>
            <w:r w:rsidRPr="00584929">
              <w:rPr>
                <w:rFonts w:ascii="Times New Roman" w:hAnsi="Times New Roman" w:cs="Times New Roman"/>
              </w:rPr>
              <w:t xml:space="preserve"> rol</w:t>
            </w:r>
            <w:r w:rsidR="008741D9" w:rsidRPr="00584929">
              <w:rPr>
                <w:rFonts w:ascii="Times New Roman" w:hAnsi="Times New Roman" w:cs="Times New Roman"/>
              </w:rPr>
              <w:t>a</w:t>
            </w:r>
            <w:r w:rsidRPr="00584929">
              <w:rPr>
                <w:rFonts w:ascii="Times New Roman" w:hAnsi="Times New Roman" w:cs="Times New Roman"/>
              </w:rPr>
              <w:t xml:space="preserve"> wspierają</w:t>
            </w:r>
            <w:r w:rsidR="008741D9" w:rsidRPr="00584929">
              <w:rPr>
                <w:rFonts w:ascii="Times New Roman" w:hAnsi="Times New Roman" w:cs="Times New Roman"/>
              </w:rPr>
              <w:t>ca</w:t>
            </w:r>
            <w:r w:rsidRPr="00584929">
              <w:rPr>
                <w:rFonts w:ascii="Times New Roman" w:hAnsi="Times New Roman" w:cs="Times New Roman"/>
              </w:rPr>
              <w:t xml:space="preserve"> </w:t>
            </w:r>
            <w:r w:rsidR="008741D9" w:rsidRPr="00584929">
              <w:rPr>
                <w:rFonts w:ascii="Times New Roman" w:hAnsi="Times New Roman" w:cs="Times New Roman"/>
              </w:rPr>
              <w:t>r</w:t>
            </w:r>
            <w:r w:rsidRPr="00584929">
              <w:rPr>
                <w:rFonts w:ascii="Times New Roman" w:hAnsi="Times New Roman" w:cs="Times New Roman"/>
              </w:rPr>
              <w:t xml:space="preserve">ealizatorów Programu. </w:t>
            </w:r>
          </w:p>
        </w:tc>
      </w:tr>
      <w:tr w:rsidR="00045661" w:rsidRPr="00584929" w14:paraId="005DEEFE" w14:textId="77777777" w:rsidTr="00D94ED7">
        <w:tc>
          <w:tcPr>
            <w:tcW w:w="676" w:type="dxa"/>
            <w:shd w:val="clear" w:color="auto" w:fill="auto"/>
          </w:tcPr>
          <w:p w14:paraId="3F71ED30" w14:textId="77777777" w:rsidR="00045661" w:rsidRPr="00584929" w:rsidRDefault="00045661" w:rsidP="004A29FC">
            <w:pPr>
              <w:pStyle w:val="Akapitzlist"/>
              <w:numPr>
                <w:ilvl w:val="0"/>
                <w:numId w:val="20"/>
              </w:numPr>
              <w:rPr>
                <w:sz w:val="22"/>
                <w:szCs w:val="22"/>
              </w:rPr>
            </w:pPr>
          </w:p>
        </w:tc>
        <w:tc>
          <w:tcPr>
            <w:tcW w:w="1968" w:type="dxa"/>
            <w:shd w:val="clear" w:color="auto" w:fill="auto"/>
          </w:tcPr>
          <w:p w14:paraId="10A518BE" w14:textId="52F13434" w:rsidR="00045661" w:rsidRPr="00584929" w:rsidRDefault="00045661" w:rsidP="004A29FC">
            <w:pPr>
              <w:rPr>
                <w:rFonts w:ascii="Times New Roman" w:hAnsi="Times New Roman" w:cs="Times New Roman"/>
              </w:rPr>
            </w:pPr>
            <w:r w:rsidRPr="00584929">
              <w:rPr>
                <w:rFonts w:ascii="Times New Roman" w:hAnsi="Times New Roman" w:cs="Times New Roman"/>
              </w:rPr>
              <w:t>Ministerstwo Rozwoju</w:t>
            </w:r>
          </w:p>
        </w:tc>
        <w:tc>
          <w:tcPr>
            <w:tcW w:w="1526" w:type="dxa"/>
            <w:shd w:val="clear" w:color="auto" w:fill="auto"/>
          </w:tcPr>
          <w:p w14:paraId="28B2DD62" w14:textId="1B692C03" w:rsidR="00045661" w:rsidRPr="00584929" w:rsidRDefault="00045661" w:rsidP="004A29FC">
            <w:pPr>
              <w:rPr>
                <w:rFonts w:ascii="Times New Roman" w:hAnsi="Times New Roman" w:cs="Times New Roman"/>
              </w:rPr>
            </w:pPr>
            <w:r w:rsidRPr="00584929">
              <w:rPr>
                <w:rFonts w:ascii="Times New Roman" w:hAnsi="Times New Roman" w:cs="Times New Roman"/>
              </w:rPr>
              <w:t>Art. 37 pkt 5</w:t>
            </w:r>
          </w:p>
        </w:tc>
        <w:tc>
          <w:tcPr>
            <w:tcW w:w="5323" w:type="dxa"/>
            <w:shd w:val="clear" w:color="auto" w:fill="auto"/>
          </w:tcPr>
          <w:p w14:paraId="7F0A6924" w14:textId="2CB34264" w:rsidR="00045661" w:rsidRPr="00584929" w:rsidRDefault="00045661" w:rsidP="002046FA">
            <w:pPr>
              <w:jc w:val="both"/>
              <w:rPr>
                <w:rFonts w:ascii="Times New Roman" w:hAnsi="Times New Roman" w:cs="Times New Roman"/>
              </w:rPr>
            </w:pPr>
            <w:r w:rsidRPr="00584929">
              <w:rPr>
                <w:rFonts w:ascii="Times New Roman" w:hAnsi="Times New Roman" w:cs="Times New Roman"/>
              </w:rPr>
              <w:t>W art. 37 zwiększono zakres zadań przypisanych Pełnomocnikom Programu. Podkreślenia wymaga, że często Pełnomocnikami są obecnie os</w:t>
            </w:r>
            <w:r w:rsidR="002046FA" w:rsidRPr="00584929">
              <w:rPr>
                <w:rFonts w:ascii="Times New Roman" w:hAnsi="Times New Roman" w:cs="Times New Roman"/>
              </w:rPr>
              <w:t>oby, które obowiązki w </w:t>
            </w:r>
            <w:r w:rsidRPr="00584929">
              <w:rPr>
                <w:rFonts w:ascii="Times New Roman" w:hAnsi="Times New Roman" w:cs="Times New Roman"/>
              </w:rPr>
              <w:t xml:space="preserve">tym zakresie wykonują przy okazji swoich dotychczasowych zadań.   </w:t>
            </w:r>
          </w:p>
          <w:p w14:paraId="70E3C075" w14:textId="4D709824" w:rsidR="00045661" w:rsidRPr="00584929" w:rsidRDefault="00045661" w:rsidP="002046FA">
            <w:pPr>
              <w:jc w:val="both"/>
              <w:rPr>
                <w:rFonts w:ascii="Times New Roman" w:hAnsi="Times New Roman" w:cs="Times New Roman"/>
              </w:rPr>
            </w:pPr>
            <w:r w:rsidRPr="00584929">
              <w:rPr>
                <w:rFonts w:ascii="Times New Roman" w:hAnsi="Times New Roman" w:cs="Times New Roman"/>
              </w:rPr>
              <w:t>W art. 37 pkt 5 projektowanej ustawy proponujemy, aby harmonogram, o którym jest tu mowa, był przedstawiany raz do roku oraz zawierał ponadto informacje na temat planowanych działań w zakresie podnoszenia i poprawy jakości danych informacji sektora publicznego już udostępnionych na portalu otwartych danych, nie tylko otwierania nowych zbiorów.</w:t>
            </w:r>
          </w:p>
        </w:tc>
        <w:tc>
          <w:tcPr>
            <w:tcW w:w="4785" w:type="dxa"/>
            <w:shd w:val="clear" w:color="auto" w:fill="auto"/>
          </w:tcPr>
          <w:p w14:paraId="3FDCD04E" w14:textId="6EAB7635" w:rsidR="003E2E7E" w:rsidRPr="00584929" w:rsidRDefault="003E2E7E" w:rsidP="003E2E7E">
            <w:pPr>
              <w:rPr>
                <w:rFonts w:ascii="Times New Roman" w:hAnsi="Times New Roman" w:cs="Times New Roman"/>
                <w:b/>
              </w:rPr>
            </w:pPr>
            <w:r w:rsidRPr="00584929">
              <w:rPr>
                <w:rFonts w:ascii="Times New Roman" w:hAnsi="Times New Roman" w:cs="Times New Roman"/>
                <w:b/>
              </w:rPr>
              <w:t xml:space="preserve">Uwaga uwzględniona częściowo </w:t>
            </w:r>
          </w:p>
          <w:p w14:paraId="34631D3A" w14:textId="3CA95871" w:rsidR="003E2E7E" w:rsidRPr="00584929" w:rsidRDefault="003E2E7E" w:rsidP="003E2E7E">
            <w:pPr>
              <w:jc w:val="both"/>
              <w:rPr>
                <w:rFonts w:ascii="Times New Roman" w:hAnsi="Times New Roman" w:cs="Times New Roman"/>
              </w:rPr>
            </w:pPr>
            <w:r w:rsidRPr="00584929">
              <w:rPr>
                <w:rFonts w:ascii="Times New Roman" w:hAnsi="Times New Roman" w:cs="Times New Roman"/>
              </w:rPr>
              <w:t>1. W art. 37 pkt 9 projektu usunięte zostanie zadani</w:t>
            </w:r>
            <w:r w:rsidR="00DD33ED" w:rsidRPr="00584929">
              <w:rPr>
                <w:rFonts w:ascii="Times New Roman" w:hAnsi="Times New Roman" w:cs="Times New Roman"/>
              </w:rPr>
              <w:t>e</w:t>
            </w:r>
            <w:r w:rsidRPr="00584929">
              <w:rPr>
                <w:rFonts w:ascii="Times New Roman" w:hAnsi="Times New Roman" w:cs="Times New Roman"/>
              </w:rPr>
              <w:t xml:space="preserve"> polegające na „udzielaniu opinii” przez pełnomocnika. Po dokonaniu analizy pozostałych projektowanych zadań pełnomocnika oraz zadań wykonywanych przez pełnomocników na podstawie obowiązującego Programu otwierania danych publicznych, zakres zadań w projektowanych przepisach zwiększył się wyłącznie o jedno zadanie. Ponadto, mając na względzie aktywność niektórych pełnomocników, „nowe” zadanie  jest już obecnie realizowane przez niektórych pełnomocników. W związku z powyższym proponujemy pozostawienie pozostałych zaproponowanych</w:t>
            </w:r>
            <w:r w:rsidR="00DA12A2" w:rsidRPr="00584929">
              <w:rPr>
                <w:rFonts w:ascii="Times New Roman" w:hAnsi="Times New Roman" w:cs="Times New Roman"/>
              </w:rPr>
              <w:t xml:space="preserve"> zadań</w:t>
            </w:r>
            <w:r w:rsidRPr="00584929">
              <w:rPr>
                <w:rFonts w:ascii="Times New Roman" w:hAnsi="Times New Roman" w:cs="Times New Roman"/>
              </w:rPr>
              <w:t xml:space="preserve">. </w:t>
            </w:r>
          </w:p>
          <w:p w14:paraId="6CC350DF" w14:textId="77777777" w:rsidR="003E2E7E" w:rsidRPr="00584929" w:rsidRDefault="003E2E7E" w:rsidP="003E2E7E">
            <w:pPr>
              <w:jc w:val="both"/>
              <w:rPr>
                <w:rFonts w:ascii="Times New Roman" w:hAnsi="Times New Roman" w:cs="Times New Roman"/>
              </w:rPr>
            </w:pPr>
          </w:p>
          <w:p w14:paraId="6030475A" w14:textId="1C1CED3C" w:rsidR="003E2E7E" w:rsidRPr="00584929" w:rsidRDefault="003E2E7E" w:rsidP="003E2E7E">
            <w:pPr>
              <w:jc w:val="both"/>
              <w:rPr>
                <w:rFonts w:ascii="Times New Roman" w:hAnsi="Times New Roman" w:cs="Times New Roman"/>
              </w:rPr>
            </w:pPr>
            <w:r w:rsidRPr="00584929">
              <w:rPr>
                <w:rFonts w:ascii="Times New Roman" w:hAnsi="Times New Roman" w:cs="Times New Roman"/>
              </w:rPr>
              <w:t xml:space="preserve">2. Art. 37 pkt 5 projektu zostanie uzupełniony o przepisy dotyczące przedstawiania w harmonogramach informacji również w zakresie jakości danych. Kwestie częstotliwości przygotowania harmonogramów proponujemy pozostawić bez zmian w projektowanych przepisach czyli dwa razy do roku. Termin półroczny wydaje się optymalny. Perspektywa roczna jest zbyt odległa. Mając na względzie dążenie do osiągnięcia założonych celów, tj. m.in. stworzenie środowiska, w którym korzyści gospodarcze i społeczne wynikające z otwartych danych, są dostrzegane </w:t>
            </w:r>
            <w:r w:rsidRPr="00584929">
              <w:rPr>
                <w:rFonts w:ascii="Times New Roman" w:hAnsi="Times New Roman" w:cs="Times New Roman"/>
              </w:rPr>
              <w:lastRenderedPageBreak/>
              <w:t xml:space="preserve">i przekładają się na budowę nowych usług, zwiększanie podaży i poprawa jakości danych dostępnych na portalu dane.gov.pl - perspektywa roczna jest nie do przyjęcia. </w:t>
            </w:r>
          </w:p>
          <w:p w14:paraId="6C5B29C2" w14:textId="1CC5DBA9" w:rsidR="00045661" w:rsidRPr="00584929" w:rsidRDefault="003E2E7E" w:rsidP="003E2E7E">
            <w:pPr>
              <w:jc w:val="both"/>
              <w:rPr>
                <w:rFonts w:ascii="Times New Roman" w:hAnsi="Times New Roman" w:cs="Times New Roman"/>
              </w:rPr>
            </w:pPr>
            <w:r w:rsidRPr="00584929">
              <w:rPr>
                <w:rFonts w:ascii="Times New Roman" w:hAnsi="Times New Roman" w:cs="Times New Roman"/>
              </w:rPr>
              <w:t>Ponadto, biorąc pod uwagę dotychczasowe opracowane harmonogramy otwierania danych – ilość danych otwieranych w danym półroczu przez resorty jak i jednostki im podlegle i nadzorowane jest bardzo imponująca (np. w ubiegłym półroczu opublikowano ok 140 zbiorów danych).</w:t>
            </w:r>
          </w:p>
        </w:tc>
      </w:tr>
      <w:tr w:rsidR="00045661" w:rsidRPr="00584929" w14:paraId="433A3CF7" w14:textId="77777777" w:rsidTr="00D94ED7">
        <w:tc>
          <w:tcPr>
            <w:tcW w:w="676" w:type="dxa"/>
            <w:shd w:val="clear" w:color="auto" w:fill="auto"/>
          </w:tcPr>
          <w:p w14:paraId="429208F5" w14:textId="77777777" w:rsidR="00045661" w:rsidRPr="00584929" w:rsidRDefault="00045661" w:rsidP="004A29FC">
            <w:pPr>
              <w:pStyle w:val="Akapitzlist"/>
              <w:numPr>
                <w:ilvl w:val="0"/>
                <w:numId w:val="20"/>
              </w:numPr>
              <w:rPr>
                <w:sz w:val="22"/>
                <w:szCs w:val="22"/>
              </w:rPr>
            </w:pPr>
          </w:p>
        </w:tc>
        <w:tc>
          <w:tcPr>
            <w:tcW w:w="1968" w:type="dxa"/>
            <w:shd w:val="clear" w:color="auto" w:fill="auto"/>
          </w:tcPr>
          <w:p w14:paraId="776E7D1C" w14:textId="402ED18C" w:rsidR="00045661" w:rsidRPr="00584929" w:rsidRDefault="00045661"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64C2A0C4" w14:textId="231FE875" w:rsidR="00045661" w:rsidRPr="00584929" w:rsidRDefault="00045661" w:rsidP="004A29FC">
            <w:pPr>
              <w:rPr>
                <w:rFonts w:ascii="Times New Roman" w:hAnsi="Times New Roman" w:cs="Times New Roman"/>
              </w:rPr>
            </w:pPr>
            <w:r w:rsidRPr="00584929">
              <w:rPr>
                <w:rFonts w:ascii="Times New Roman" w:hAnsi="Times New Roman" w:cs="Times New Roman"/>
              </w:rPr>
              <w:t>Art. 37 pkt 5</w:t>
            </w:r>
          </w:p>
        </w:tc>
        <w:tc>
          <w:tcPr>
            <w:tcW w:w="5323" w:type="dxa"/>
            <w:shd w:val="clear" w:color="auto" w:fill="auto"/>
          </w:tcPr>
          <w:p w14:paraId="199E7A50" w14:textId="3FB1A37B" w:rsidR="00045661" w:rsidRPr="00584929" w:rsidRDefault="00045661" w:rsidP="00004823">
            <w:pPr>
              <w:jc w:val="both"/>
              <w:rPr>
                <w:rFonts w:ascii="Times New Roman" w:hAnsi="Times New Roman" w:cs="Times New Roman"/>
              </w:rPr>
            </w:pPr>
            <w:r w:rsidRPr="00584929">
              <w:rPr>
                <w:rFonts w:ascii="Times New Roman" w:hAnsi="Times New Roman" w:cs="Times New Roman"/>
              </w:rPr>
              <w:t>W art. 37 pkt 5 projektowanej ustawy proponuje się aby harmonogram, o którym jest tu mowa był przedstawiany raz do roku oraz zawierał również informacje na temat planowanych działań w zakresie podnoszenia i poprawy jakości danych informacji sektora publicznego udostępnionych już na portalu otwartych danych.</w:t>
            </w:r>
          </w:p>
        </w:tc>
        <w:tc>
          <w:tcPr>
            <w:tcW w:w="4785" w:type="dxa"/>
            <w:shd w:val="clear" w:color="auto" w:fill="auto"/>
          </w:tcPr>
          <w:p w14:paraId="1DAA6BC4" w14:textId="77777777" w:rsidR="00045661" w:rsidRPr="00584929" w:rsidRDefault="00045661" w:rsidP="004A29FC">
            <w:pPr>
              <w:rPr>
                <w:rFonts w:ascii="Times New Roman" w:hAnsi="Times New Roman" w:cs="Times New Roman"/>
                <w:b/>
              </w:rPr>
            </w:pPr>
            <w:r w:rsidRPr="00584929">
              <w:rPr>
                <w:rFonts w:ascii="Times New Roman" w:hAnsi="Times New Roman" w:cs="Times New Roman"/>
                <w:b/>
              </w:rPr>
              <w:t>Uwaga uwzględniona częściowo</w:t>
            </w:r>
          </w:p>
          <w:p w14:paraId="4A848F28" w14:textId="77777777" w:rsidR="003E2E7E" w:rsidRPr="00584929" w:rsidRDefault="003E2E7E" w:rsidP="003E2E7E">
            <w:pPr>
              <w:jc w:val="both"/>
              <w:rPr>
                <w:rFonts w:ascii="Times New Roman" w:hAnsi="Times New Roman" w:cs="Times New Roman"/>
              </w:rPr>
            </w:pPr>
            <w:r w:rsidRPr="00584929">
              <w:rPr>
                <w:rFonts w:ascii="Times New Roman" w:hAnsi="Times New Roman" w:cs="Times New Roman"/>
              </w:rPr>
              <w:t xml:space="preserve">Art. 37 pkt 5 projektu zostanie uzupełniony o przepisy dotyczące przedstawiania w harmonogramach informacji również w zakresie jakości danych. Kwestie częstotliwości przygotowania harmonogramów proponujemy pozostawić bez zmian w projektowanych przepisach czyli dwa razy do roku. Termin półroczny wydaje się optymalny. Perspektywa roczna jest zbyt odległa. Mając na względzie dążenie do osiągnięcia założonych celów, tj. m.in. stworzenie środowiska, w którym korzyści gospodarcze i społeczne wynikające z otwartych danych, są dostrzegane i przekładają się na budowę nowych usług, zwiększanie podaży i poprawa jakości danych dostępnych na portalu dane.gov.pl - perspektywa roczna jest nie do przyjęcia. </w:t>
            </w:r>
          </w:p>
          <w:p w14:paraId="6FC7133F" w14:textId="4B91455E" w:rsidR="005563C7" w:rsidRPr="00584929" w:rsidRDefault="003E2E7E" w:rsidP="003E2E7E">
            <w:pPr>
              <w:jc w:val="both"/>
              <w:rPr>
                <w:rFonts w:ascii="Times New Roman" w:hAnsi="Times New Roman" w:cs="Times New Roman"/>
              </w:rPr>
            </w:pPr>
            <w:r w:rsidRPr="00584929">
              <w:rPr>
                <w:rFonts w:ascii="Times New Roman" w:hAnsi="Times New Roman" w:cs="Times New Roman"/>
              </w:rPr>
              <w:t>Ponadto, biorąc pod uwagę dotychczasowe opracowane harmonogramy otwierania danych – ilość danych otwieranych w danym półroczu przez resorty jak i jednostki im podlegle i nadzorowane jest bardzo imponująca (np. w ubiegłym półroczu opublikowano ok 140 zbiorów danych).</w:t>
            </w:r>
          </w:p>
        </w:tc>
      </w:tr>
      <w:tr w:rsidR="0092159A" w:rsidRPr="00584929" w14:paraId="292DCD06" w14:textId="77777777" w:rsidTr="00D94ED7">
        <w:tc>
          <w:tcPr>
            <w:tcW w:w="676" w:type="dxa"/>
            <w:shd w:val="clear" w:color="auto" w:fill="auto"/>
          </w:tcPr>
          <w:p w14:paraId="709F98B8"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35B2B76A" w14:textId="178D621D" w:rsidR="0092159A" w:rsidRPr="00584929" w:rsidRDefault="00962F73" w:rsidP="004A29FC">
            <w:pPr>
              <w:rPr>
                <w:rFonts w:ascii="Times New Roman" w:hAnsi="Times New Roman" w:cs="Times New Roman"/>
              </w:rPr>
            </w:pPr>
            <w:r w:rsidRPr="00584929">
              <w:rPr>
                <w:rFonts w:ascii="Times New Roman" w:hAnsi="Times New Roman" w:cs="Times New Roman"/>
              </w:rPr>
              <w:t xml:space="preserve">Ministerstwo Nauki i </w:t>
            </w:r>
            <w:r w:rsidRPr="00584929">
              <w:rPr>
                <w:rFonts w:ascii="Times New Roman" w:hAnsi="Times New Roman" w:cs="Times New Roman"/>
              </w:rPr>
              <w:lastRenderedPageBreak/>
              <w:t>Szkolnictwa Wyższego</w:t>
            </w:r>
          </w:p>
        </w:tc>
        <w:tc>
          <w:tcPr>
            <w:tcW w:w="1526" w:type="dxa"/>
            <w:shd w:val="clear" w:color="auto" w:fill="auto"/>
          </w:tcPr>
          <w:p w14:paraId="24333EFE" w14:textId="0D64C1AD" w:rsidR="0092159A" w:rsidRPr="00584929" w:rsidRDefault="00962F73" w:rsidP="004A29FC">
            <w:pPr>
              <w:rPr>
                <w:rFonts w:ascii="Times New Roman" w:hAnsi="Times New Roman" w:cs="Times New Roman"/>
              </w:rPr>
            </w:pPr>
            <w:r w:rsidRPr="00584929">
              <w:rPr>
                <w:rFonts w:ascii="Times New Roman" w:hAnsi="Times New Roman" w:cs="Times New Roman"/>
              </w:rPr>
              <w:lastRenderedPageBreak/>
              <w:t>Art. 37</w:t>
            </w:r>
          </w:p>
        </w:tc>
        <w:tc>
          <w:tcPr>
            <w:tcW w:w="5323" w:type="dxa"/>
            <w:shd w:val="clear" w:color="auto" w:fill="auto"/>
          </w:tcPr>
          <w:p w14:paraId="3ECB6C4F" w14:textId="77777777" w:rsidR="00962F73" w:rsidRPr="00584929" w:rsidRDefault="00962F73" w:rsidP="00004823">
            <w:pPr>
              <w:jc w:val="both"/>
              <w:rPr>
                <w:rFonts w:ascii="Times New Roman" w:hAnsi="Times New Roman" w:cs="Times New Roman"/>
              </w:rPr>
            </w:pPr>
            <w:r w:rsidRPr="00584929">
              <w:rPr>
                <w:rFonts w:ascii="Times New Roman" w:hAnsi="Times New Roman" w:cs="Times New Roman"/>
              </w:rPr>
              <w:t xml:space="preserve">Opisany w art. 37 Zakres zadań pełnomocnika ds. otwartości danych jest bardzo szeroki. Wątpliwości budzi </w:t>
            </w:r>
            <w:r w:rsidRPr="00584929">
              <w:rPr>
                <w:rFonts w:ascii="Times New Roman" w:hAnsi="Times New Roman" w:cs="Times New Roman"/>
              </w:rPr>
              <w:lastRenderedPageBreak/>
              <w:t>fakt, że na realizację tak dużej liczby zadań jest przewidziana jedna osoba (art. 35 ust. 2). Dodatkowo będą konieczne nakłady finansowe z budżetu państwa na obsługę pełnomocników.</w:t>
            </w:r>
          </w:p>
          <w:p w14:paraId="2C8DC8BD" w14:textId="77777777" w:rsidR="0092159A" w:rsidRPr="00584929" w:rsidRDefault="00962F73" w:rsidP="00004823">
            <w:pPr>
              <w:jc w:val="both"/>
              <w:rPr>
                <w:rFonts w:ascii="Times New Roman" w:hAnsi="Times New Roman" w:cs="Times New Roman"/>
              </w:rPr>
            </w:pPr>
            <w:r w:rsidRPr="00584929">
              <w:rPr>
                <w:rFonts w:ascii="Times New Roman" w:hAnsi="Times New Roman" w:cs="Times New Roman"/>
              </w:rPr>
              <w:t>Proponuje się ponowne przeanalizowanie ustanawiania pełnomocników ds. otwartości danych zarówno pod kątem merytorycznym, organizacyjnym jak i finansowym.</w:t>
            </w:r>
          </w:p>
          <w:p w14:paraId="5D0455D0" w14:textId="1D06E50C" w:rsidR="00962F73" w:rsidRPr="00584929" w:rsidRDefault="00962F73" w:rsidP="004A29FC">
            <w:pPr>
              <w:rPr>
                <w:rFonts w:ascii="Times New Roman" w:hAnsi="Times New Roman" w:cs="Times New Roman"/>
              </w:rPr>
            </w:pPr>
          </w:p>
        </w:tc>
        <w:tc>
          <w:tcPr>
            <w:tcW w:w="4785" w:type="dxa"/>
            <w:shd w:val="clear" w:color="auto" w:fill="auto"/>
          </w:tcPr>
          <w:p w14:paraId="57B52073" w14:textId="77777777" w:rsidR="006E1F5F" w:rsidRPr="00584929" w:rsidRDefault="006E1F5F" w:rsidP="003E2E7E">
            <w:pPr>
              <w:rPr>
                <w:rFonts w:ascii="Times New Roman" w:hAnsi="Times New Roman" w:cs="Times New Roman"/>
                <w:b/>
              </w:rPr>
            </w:pPr>
            <w:r w:rsidRPr="00584929">
              <w:rPr>
                <w:rFonts w:ascii="Times New Roman" w:hAnsi="Times New Roman" w:cs="Times New Roman"/>
                <w:b/>
              </w:rPr>
              <w:lastRenderedPageBreak/>
              <w:t xml:space="preserve">Uwaga uwzględniona częściowo </w:t>
            </w:r>
          </w:p>
          <w:p w14:paraId="0A5CE79B" w14:textId="1382ECBB" w:rsidR="003E2E7E" w:rsidRPr="00584929" w:rsidRDefault="003E2E7E" w:rsidP="003E2E7E">
            <w:pPr>
              <w:jc w:val="both"/>
              <w:rPr>
                <w:rFonts w:ascii="Times New Roman" w:hAnsi="Times New Roman" w:cs="Times New Roman"/>
              </w:rPr>
            </w:pPr>
            <w:r w:rsidRPr="00584929">
              <w:rPr>
                <w:rFonts w:ascii="Times New Roman" w:hAnsi="Times New Roman" w:cs="Times New Roman"/>
              </w:rPr>
              <w:lastRenderedPageBreak/>
              <w:t>W art. 37 pkt 9 projektu usunięte zostanie zadania polegające na „udzielaniu opinii” przez pełnomocnika. Po dokonaniu analizy pozostałych projektowanych zadań pełnomocnika oraz zadań wykonywanych przez pełnomocników na podstawie obowiązującego Programu otwierania danych publicznych, zakres zadań w projektowanych przepisach zwiększył się wyłącznie o jedno zadanie. Ponadto, mając na względzie aktywność niektórych pełnomocników, „nowe” zadanie  jest już obecnie realizowane przez niektórych pełnomocników. W związku z powyższym proponujemy pozostawienie pozostałych zaproponowanych</w:t>
            </w:r>
            <w:r w:rsidR="00DA12A2" w:rsidRPr="00584929">
              <w:rPr>
                <w:rFonts w:ascii="Times New Roman" w:hAnsi="Times New Roman" w:cs="Times New Roman"/>
              </w:rPr>
              <w:t xml:space="preserve"> zadań</w:t>
            </w:r>
            <w:r w:rsidRPr="00584929">
              <w:rPr>
                <w:rFonts w:ascii="Times New Roman" w:hAnsi="Times New Roman" w:cs="Times New Roman"/>
              </w:rPr>
              <w:t xml:space="preserve">. </w:t>
            </w:r>
          </w:p>
        </w:tc>
      </w:tr>
      <w:tr w:rsidR="005D787F" w:rsidRPr="00584929" w14:paraId="4D685D49" w14:textId="77777777" w:rsidTr="00D94ED7">
        <w:tc>
          <w:tcPr>
            <w:tcW w:w="676" w:type="dxa"/>
            <w:shd w:val="clear" w:color="auto" w:fill="auto"/>
          </w:tcPr>
          <w:p w14:paraId="1FF36E02" w14:textId="77777777" w:rsidR="005D787F" w:rsidRPr="00584929" w:rsidRDefault="005D787F" w:rsidP="004A29FC">
            <w:pPr>
              <w:pStyle w:val="Akapitzlist"/>
              <w:numPr>
                <w:ilvl w:val="0"/>
                <w:numId w:val="20"/>
              </w:numPr>
              <w:rPr>
                <w:sz w:val="22"/>
                <w:szCs w:val="22"/>
              </w:rPr>
            </w:pPr>
          </w:p>
        </w:tc>
        <w:tc>
          <w:tcPr>
            <w:tcW w:w="1968" w:type="dxa"/>
            <w:shd w:val="clear" w:color="auto" w:fill="auto"/>
          </w:tcPr>
          <w:p w14:paraId="58D0154C" w14:textId="281F02CB" w:rsidR="005D787F" w:rsidRPr="00584929" w:rsidRDefault="005D787F" w:rsidP="004A29FC">
            <w:pPr>
              <w:rPr>
                <w:rFonts w:ascii="Times New Roman" w:hAnsi="Times New Roman" w:cs="Times New Roman"/>
              </w:rPr>
            </w:pPr>
            <w:r w:rsidRPr="00584929">
              <w:rPr>
                <w:rFonts w:ascii="Times New Roman" w:hAnsi="Times New Roman" w:cs="Times New Roman"/>
              </w:rPr>
              <w:t>Ministerstwo Spraw Wewnętrznych i Administracji</w:t>
            </w:r>
          </w:p>
        </w:tc>
        <w:tc>
          <w:tcPr>
            <w:tcW w:w="1526" w:type="dxa"/>
            <w:shd w:val="clear" w:color="auto" w:fill="auto"/>
          </w:tcPr>
          <w:p w14:paraId="41CDE4E4" w14:textId="787FD6D9" w:rsidR="005D787F" w:rsidRPr="00584929" w:rsidRDefault="005D787F" w:rsidP="004A29FC">
            <w:pPr>
              <w:rPr>
                <w:rFonts w:ascii="Times New Roman" w:hAnsi="Times New Roman" w:cs="Times New Roman"/>
              </w:rPr>
            </w:pPr>
            <w:r w:rsidRPr="00584929">
              <w:rPr>
                <w:rFonts w:ascii="Times New Roman" w:hAnsi="Times New Roman" w:cs="Times New Roman"/>
              </w:rPr>
              <w:t>Art. 37 pkt 9</w:t>
            </w:r>
          </w:p>
        </w:tc>
        <w:tc>
          <w:tcPr>
            <w:tcW w:w="5323" w:type="dxa"/>
            <w:shd w:val="clear" w:color="auto" w:fill="auto"/>
          </w:tcPr>
          <w:p w14:paraId="12D2E855" w14:textId="07209137" w:rsidR="005D787F" w:rsidRPr="00584929" w:rsidRDefault="005D787F" w:rsidP="00004823">
            <w:pPr>
              <w:jc w:val="both"/>
              <w:rPr>
                <w:rFonts w:ascii="Times New Roman" w:hAnsi="Times New Roman" w:cs="Times New Roman"/>
              </w:rPr>
            </w:pPr>
            <w:r w:rsidRPr="00584929">
              <w:rPr>
                <w:rFonts w:ascii="Times New Roman" w:hAnsi="Times New Roman" w:cs="Times New Roman"/>
              </w:rPr>
              <w:t>Proponuje się doprecyzować art. 37 pkt 9 projektu poprzez wskazanie jakiego rodzaju opinie w zakresie otwartości danych mają być udzielane pracownikom jednostki, w której został powołany Pełnomocnik.</w:t>
            </w:r>
          </w:p>
        </w:tc>
        <w:tc>
          <w:tcPr>
            <w:tcW w:w="4785" w:type="dxa"/>
            <w:shd w:val="clear" w:color="auto" w:fill="auto"/>
          </w:tcPr>
          <w:p w14:paraId="5E7715B5" w14:textId="77777777" w:rsidR="005D787F" w:rsidRPr="00584929" w:rsidRDefault="00DA12A2" w:rsidP="004A29FC">
            <w:pPr>
              <w:rPr>
                <w:rFonts w:ascii="Times New Roman" w:hAnsi="Times New Roman" w:cs="Times New Roman"/>
                <w:b/>
              </w:rPr>
            </w:pPr>
            <w:r w:rsidRPr="00584929">
              <w:rPr>
                <w:rFonts w:ascii="Times New Roman" w:hAnsi="Times New Roman" w:cs="Times New Roman"/>
                <w:b/>
              </w:rPr>
              <w:t xml:space="preserve">Wyjaśnienie </w:t>
            </w:r>
          </w:p>
          <w:p w14:paraId="4027AEC4" w14:textId="4794A831" w:rsidR="00DA12A2" w:rsidRPr="00584929" w:rsidRDefault="00DA12A2" w:rsidP="00DD33ED">
            <w:pPr>
              <w:jc w:val="both"/>
              <w:rPr>
                <w:rFonts w:ascii="Times New Roman" w:hAnsi="Times New Roman" w:cs="Times New Roman"/>
              </w:rPr>
            </w:pPr>
            <w:r w:rsidRPr="00584929">
              <w:rPr>
                <w:rFonts w:ascii="Times New Roman" w:hAnsi="Times New Roman" w:cs="Times New Roman"/>
              </w:rPr>
              <w:t>W art. 37 pkt 9 projektu usunięte zostanie zadani</w:t>
            </w:r>
            <w:r w:rsidR="00DD33ED" w:rsidRPr="00584929">
              <w:rPr>
                <w:rFonts w:ascii="Times New Roman" w:hAnsi="Times New Roman" w:cs="Times New Roman"/>
              </w:rPr>
              <w:t>e</w:t>
            </w:r>
            <w:r w:rsidRPr="00584929">
              <w:rPr>
                <w:rFonts w:ascii="Times New Roman" w:hAnsi="Times New Roman" w:cs="Times New Roman"/>
              </w:rPr>
              <w:t xml:space="preserve"> polegające na „udzielaniu opinii” przez pełnomocnika.</w:t>
            </w:r>
          </w:p>
        </w:tc>
      </w:tr>
      <w:tr w:rsidR="005D787F" w:rsidRPr="00584929" w14:paraId="7A6A524B" w14:textId="77777777" w:rsidTr="00D94ED7">
        <w:tc>
          <w:tcPr>
            <w:tcW w:w="676" w:type="dxa"/>
            <w:shd w:val="clear" w:color="auto" w:fill="auto"/>
          </w:tcPr>
          <w:p w14:paraId="1D4BAB20" w14:textId="77777777" w:rsidR="005D787F" w:rsidRPr="00584929" w:rsidRDefault="005D787F" w:rsidP="004A29FC">
            <w:pPr>
              <w:pStyle w:val="Akapitzlist"/>
              <w:numPr>
                <w:ilvl w:val="0"/>
                <w:numId w:val="20"/>
              </w:numPr>
              <w:rPr>
                <w:sz w:val="22"/>
                <w:szCs w:val="22"/>
              </w:rPr>
            </w:pPr>
          </w:p>
        </w:tc>
        <w:tc>
          <w:tcPr>
            <w:tcW w:w="1968" w:type="dxa"/>
            <w:shd w:val="clear" w:color="auto" w:fill="auto"/>
          </w:tcPr>
          <w:p w14:paraId="7AF09B2D" w14:textId="597CE111" w:rsidR="005D787F" w:rsidRPr="00584929" w:rsidRDefault="005D787F" w:rsidP="004A29FC">
            <w:pPr>
              <w:rPr>
                <w:rFonts w:ascii="Times New Roman" w:hAnsi="Times New Roman" w:cs="Times New Roman"/>
              </w:rPr>
            </w:pPr>
            <w:r w:rsidRPr="00584929">
              <w:rPr>
                <w:rFonts w:ascii="Times New Roman" w:hAnsi="Times New Roman" w:cs="Times New Roman"/>
              </w:rPr>
              <w:t>Ministerstwo Rozwoju</w:t>
            </w:r>
          </w:p>
        </w:tc>
        <w:tc>
          <w:tcPr>
            <w:tcW w:w="1526" w:type="dxa"/>
            <w:shd w:val="clear" w:color="auto" w:fill="auto"/>
          </w:tcPr>
          <w:p w14:paraId="7B7E0228" w14:textId="01F46A50" w:rsidR="005D787F" w:rsidRPr="00584929" w:rsidRDefault="005D787F" w:rsidP="004A29FC">
            <w:pPr>
              <w:rPr>
                <w:rFonts w:ascii="Times New Roman" w:hAnsi="Times New Roman" w:cs="Times New Roman"/>
              </w:rPr>
            </w:pPr>
            <w:r w:rsidRPr="00584929">
              <w:rPr>
                <w:rFonts w:ascii="Times New Roman" w:hAnsi="Times New Roman" w:cs="Times New Roman"/>
              </w:rPr>
              <w:t>Art. 37 pkt 9</w:t>
            </w:r>
          </w:p>
        </w:tc>
        <w:tc>
          <w:tcPr>
            <w:tcW w:w="5323" w:type="dxa"/>
            <w:shd w:val="clear" w:color="auto" w:fill="auto"/>
          </w:tcPr>
          <w:p w14:paraId="2C25BFA1" w14:textId="7E95703F" w:rsidR="005D787F" w:rsidRPr="00584929" w:rsidRDefault="005D787F" w:rsidP="00231C68">
            <w:pPr>
              <w:jc w:val="both"/>
              <w:rPr>
                <w:rFonts w:ascii="Times New Roman" w:hAnsi="Times New Roman" w:cs="Times New Roman"/>
              </w:rPr>
            </w:pPr>
            <w:r w:rsidRPr="00584929">
              <w:rPr>
                <w:rFonts w:ascii="Times New Roman" w:hAnsi="Times New Roman" w:cs="Times New Roman"/>
              </w:rPr>
              <w:t>W art. 37 pkt 9 niezbędna jest spacja pomiędzy wyrazami „opinii” i „oraz”.</w:t>
            </w:r>
          </w:p>
        </w:tc>
        <w:tc>
          <w:tcPr>
            <w:tcW w:w="4785" w:type="dxa"/>
            <w:shd w:val="clear" w:color="auto" w:fill="auto"/>
          </w:tcPr>
          <w:p w14:paraId="04E5D9C6" w14:textId="77777777" w:rsidR="00DD33ED" w:rsidRPr="00584929" w:rsidRDefault="00DD33ED" w:rsidP="00DD33ED">
            <w:pPr>
              <w:rPr>
                <w:rFonts w:ascii="Times New Roman" w:hAnsi="Times New Roman" w:cs="Times New Roman"/>
                <w:b/>
              </w:rPr>
            </w:pPr>
            <w:r w:rsidRPr="00584929">
              <w:rPr>
                <w:rFonts w:ascii="Times New Roman" w:hAnsi="Times New Roman" w:cs="Times New Roman"/>
                <w:b/>
              </w:rPr>
              <w:t xml:space="preserve">Wyjaśnienie </w:t>
            </w:r>
          </w:p>
          <w:p w14:paraId="3F354A25" w14:textId="00E04019" w:rsidR="005D787F" w:rsidRPr="00584929" w:rsidRDefault="00DD33ED" w:rsidP="00DD33ED">
            <w:pPr>
              <w:jc w:val="both"/>
              <w:rPr>
                <w:rFonts w:ascii="Times New Roman" w:hAnsi="Times New Roman" w:cs="Times New Roman"/>
              </w:rPr>
            </w:pPr>
            <w:r w:rsidRPr="00584929">
              <w:rPr>
                <w:rFonts w:ascii="Times New Roman" w:hAnsi="Times New Roman" w:cs="Times New Roman"/>
              </w:rPr>
              <w:t>W art. 37 pkt 9 projektu usunięte zostanie zadanie polegające na „udzielaniu opinii” przez pełnomocnika.</w:t>
            </w:r>
          </w:p>
        </w:tc>
      </w:tr>
      <w:tr w:rsidR="0092159A" w:rsidRPr="00584929" w14:paraId="0945BAE7" w14:textId="77777777" w:rsidTr="00D94ED7">
        <w:tc>
          <w:tcPr>
            <w:tcW w:w="676" w:type="dxa"/>
            <w:shd w:val="clear" w:color="auto" w:fill="auto"/>
          </w:tcPr>
          <w:p w14:paraId="14F6F604"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6148C6BA" w14:textId="3E49436E" w:rsidR="0092159A" w:rsidRPr="00584929" w:rsidRDefault="001255FD" w:rsidP="004A29FC">
            <w:pPr>
              <w:rPr>
                <w:rFonts w:ascii="Times New Roman" w:hAnsi="Times New Roman" w:cs="Times New Roman"/>
              </w:rPr>
            </w:pPr>
            <w:r w:rsidRPr="00584929">
              <w:rPr>
                <w:rFonts w:ascii="Times New Roman" w:hAnsi="Times New Roman" w:cs="Times New Roman"/>
              </w:rPr>
              <w:t>Ministerstwo Klimatu</w:t>
            </w:r>
          </w:p>
        </w:tc>
        <w:tc>
          <w:tcPr>
            <w:tcW w:w="1526" w:type="dxa"/>
            <w:shd w:val="clear" w:color="auto" w:fill="auto"/>
          </w:tcPr>
          <w:p w14:paraId="3FFCAE27" w14:textId="064CD8CA" w:rsidR="0092159A" w:rsidRPr="00584929" w:rsidRDefault="001255FD" w:rsidP="004A29FC">
            <w:pPr>
              <w:rPr>
                <w:rFonts w:ascii="Times New Roman" w:hAnsi="Times New Roman" w:cs="Times New Roman"/>
              </w:rPr>
            </w:pPr>
            <w:r w:rsidRPr="00584929">
              <w:rPr>
                <w:rFonts w:ascii="Times New Roman" w:hAnsi="Times New Roman" w:cs="Times New Roman"/>
              </w:rPr>
              <w:t>Art. 37</w:t>
            </w:r>
          </w:p>
        </w:tc>
        <w:tc>
          <w:tcPr>
            <w:tcW w:w="5323" w:type="dxa"/>
            <w:shd w:val="clear" w:color="auto" w:fill="auto"/>
          </w:tcPr>
          <w:p w14:paraId="2DE3CB9E" w14:textId="492F22C3" w:rsidR="001255FD" w:rsidRPr="00584929" w:rsidRDefault="001255FD" w:rsidP="00231C68">
            <w:pPr>
              <w:jc w:val="both"/>
              <w:rPr>
                <w:rFonts w:ascii="Times New Roman" w:hAnsi="Times New Roman" w:cs="Times New Roman"/>
              </w:rPr>
            </w:pPr>
            <w:r w:rsidRPr="00584929">
              <w:rPr>
                <w:rFonts w:ascii="Times New Roman" w:hAnsi="Times New Roman" w:cs="Times New Roman"/>
              </w:rPr>
              <w:t>Zgodnie z wyjaśnieniem Ministra Cyfryzacji zawartym w uzasadnieniu (str. 64), art. 36 (powinien być art. 37, gdyż art. 36 zawiera katalog koordynat</w:t>
            </w:r>
            <w:r w:rsidR="00A57AB5" w:rsidRPr="00584929">
              <w:rPr>
                <w:rFonts w:ascii="Times New Roman" w:hAnsi="Times New Roman" w:cs="Times New Roman"/>
              </w:rPr>
              <w:t xml:space="preserve">ora programu) zawiera zamknięty </w:t>
            </w:r>
            <w:r w:rsidRPr="00584929">
              <w:rPr>
                <w:rFonts w:ascii="Times New Roman" w:hAnsi="Times New Roman" w:cs="Times New Roman"/>
              </w:rPr>
              <w:t>katalog obowiązków Pełnomocników. Jeśli zamysłem Ministra Cyfryzacji było przygotowanie katalogu zamkniętego obowiązków Pełnomocników, to</w:t>
            </w:r>
            <w:r w:rsidR="00A57AB5" w:rsidRPr="00584929">
              <w:rPr>
                <w:rFonts w:ascii="Times New Roman" w:hAnsi="Times New Roman" w:cs="Times New Roman"/>
              </w:rPr>
              <w:t xml:space="preserve"> niewłaściwe jest używanie </w:t>
            </w:r>
            <w:r w:rsidRPr="00584929">
              <w:rPr>
                <w:rFonts w:ascii="Times New Roman" w:hAnsi="Times New Roman" w:cs="Times New Roman"/>
              </w:rPr>
              <w:t>sf</w:t>
            </w:r>
            <w:r w:rsidR="005563C7" w:rsidRPr="00584929">
              <w:rPr>
                <w:rFonts w:ascii="Times New Roman" w:hAnsi="Times New Roman" w:cs="Times New Roman"/>
              </w:rPr>
              <w:t>ormułowania „w szczególności” .</w:t>
            </w:r>
          </w:p>
          <w:p w14:paraId="17073C93" w14:textId="77777777" w:rsidR="001255FD" w:rsidRPr="00584929" w:rsidRDefault="001255FD" w:rsidP="00231C68">
            <w:pPr>
              <w:jc w:val="both"/>
              <w:rPr>
                <w:rFonts w:ascii="Times New Roman" w:hAnsi="Times New Roman" w:cs="Times New Roman"/>
              </w:rPr>
            </w:pPr>
            <w:r w:rsidRPr="00584929">
              <w:rPr>
                <w:rFonts w:ascii="Times New Roman" w:hAnsi="Times New Roman" w:cs="Times New Roman"/>
              </w:rPr>
              <w:t>Proponowane brzmienie:</w:t>
            </w:r>
          </w:p>
          <w:p w14:paraId="0BAB9485" w14:textId="77777777" w:rsidR="001255FD" w:rsidRPr="00584929" w:rsidRDefault="001255FD" w:rsidP="00231C68">
            <w:pPr>
              <w:jc w:val="both"/>
              <w:rPr>
                <w:rFonts w:ascii="Times New Roman" w:hAnsi="Times New Roman" w:cs="Times New Roman"/>
              </w:rPr>
            </w:pPr>
            <w:r w:rsidRPr="00584929">
              <w:rPr>
                <w:rFonts w:ascii="Times New Roman" w:hAnsi="Times New Roman" w:cs="Times New Roman"/>
              </w:rPr>
              <w:t>art. 37 „W ramach realizacji działań</w:t>
            </w:r>
          </w:p>
          <w:p w14:paraId="5BB1ED2D" w14:textId="30555BE5" w:rsidR="001255FD" w:rsidRPr="00584929" w:rsidRDefault="001255FD" w:rsidP="00231C68">
            <w:pPr>
              <w:jc w:val="both"/>
              <w:rPr>
                <w:rFonts w:ascii="Times New Roman" w:hAnsi="Times New Roman" w:cs="Times New Roman"/>
              </w:rPr>
            </w:pPr>
            <w:r w:rsidRPr="00584929">
              <w:rPr>
                <w:rFonts w:ascii="Times New Roman" w:hAnsi="Times New Roman" w:cs="Times New Roman"/>
              </w:rPr>
              <w:t>wynikających z Programu Otwierania Danych do zadań Pełnomocnika, należy: (…)”.</w:t>
            </w:r>
          </w:p>
        </w:tc>
        <w:tc>
          <w:tcPr>
            <w:tcW w:w="4785" w:type="dxa"/>
            <w:shd w:val="clear" w:color="auto" w:fill="auto"/>
          </w:tcPr>
          <w:p w14:paraId="607EE7F6" w14:textId="77777777" w:rsidR="0092159A" w:rsidRPr="00584929" w:rsidRDefault="001255FD" w:rsidP="004A29FC">
            <w:pPr>
              <w:rPr>
                <w:rFonts w:ascii="Times New Roman" w:hAnsi="Times New Roman" w:cs="Times New Roman"/>
                <w:b/>
              </w:rPr>
            </w:pPr>
            <w:r w:rsidRPr="00584929">
              <w:rPr>
                <w:rFonts w:ascii="Times New Roman" w:hAnsi="Times New Roman" w:cs="Times New Roman"/>
                <w:b/>
              </w:rPr>
              <w:t>Uwaga nieuwzględniona</w:t>
            </w:r>
          </w:p>
          <w:p w14:paraId="53E4BD79" w14:textId="26456891" w:rsidR="00DD33ED" w:rsidRPr="00584929" w:rsidRDefault="00DD33ED" w:rsidP="006866C7">
            <w:pPr>
              <w:jc w:val="both"/>
              <w:rPr>
                <w:rFonts w:ascii="Times New Roman" w:hAnsi="Times New Roman" w:cs="Times New Roman"/>
              </w:rPr>
            </w:pPr>
            <w:r w:rsidRPr="00584929">
              <w:rPr>
                <w:rFonts w:ascii="Times New Roman" w:hAnsi="Times New Roman" w:cs="Times New Roman"/>
              </w:rPr>
              <w:t>Katalog zadań przedstawiony w art. 37 ma konstrukcję otwartą, w przyszłości zwrot ten będzie uzasadniał możliwość jego dalszego rozszerzania. Przedmiotowy zwrot wskazuje na najważniejsze zadania, natomiast w trakcie prac nad realizacją Programu zadania Koordynatora Programu jak i Pełnomo</w:t>
            </w:r>
            <w:r w:rsidR="006866C7" w:rsidRPr="00584929">
              <w:rPr>
                <w:rFonts w:ascii="Times New Roman" w:hAnsi="Times New Roman" w:cs="Times New Roman"/>
              </w:rPr>
              <w:t>cników mogą ulec rozszerzeniu. W </w:t>
            </w:r>
            <w:r w:rsidRPr="00584929">
              <w:rPr>
                <w:rFonts w:ascii="Times New Roman" w:hAnsi="Times New Roman" w:cs="Times New Roman"/>
              </w:rPr>
              <w:t>związku z powyższym proponujemy pozostawienie w przepisie zwrotu „w szczególności”.</w:t>
            </w:r>
            <w:r w:rsidR="004F3139" w:rsidRPr="00584929">
              <w:rPr>
                <w:rFonts w:ascii="Times New Roman" w:hAnsi="Times New Roman" w:cs="Times New Roman"/>
              </w:rPr>
              <w:t xml:space="preserve"> </w:t>
            </w:r>
            <w:r w:rsidR="006866C7" w:rsidRPr="00584929">
              <w:rPr>
                <w:rFonts w:ascii="Times New Roman" w:hAnsi="Times New Roman" w:cs="Times New Roman"/>
              </w:rPr>
              <w:t>W</w:t>
            </w:r>
            <w:r w:rsidR="004F3139" w:rsidRPr="00584929">
              <w:rPr>
                <w:rFonts w:ascii="Times New Roman" w:hAnsi="Times New Roman" w:cs="Times New Roman"/>
              </w:rPr>
              <w:t xml:space="preserve"> następstwie tego, zapisy w </w:t>
            </w:r>
            <w:r w:rsidRPr="00584929">
              <w:rPr>
                <w:rFonts w:ascii="Times New Roman" w:hAnsi="Times New Roman" w:cs="Times New Roman"/>
              </w:rPr>
              <w:t>uzasadnieniu zostaną dostosowane do projektowanych przepisów.</w:t>
            </w:r>
          </w:p>
        </w:tc>
      </w:tr>
      <w:tr w:rsidR="0092159A" w:rsidRPr="00584929" w14:paraId="6097948B" w14:textId="77777777" w:rsidTr="00D94ED7">
        <w:tc>
          <w:tcPr>
            <w:tcW w:w="676" w:type="dxa"/>
            <w:shd w:val="clear" w:color="auto" w:fill="auto"/>
          </w:tcPr>
          <w:p w14:paraId="671184F7"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2626F6A9" w14:textId="7204E638" w:rsidR="0092159A" w:rsidRPr="00584929" w:rsidRDefault="001255FD" w:rsidP="004A29FC">
            <w:pPr>
              <w:rPr>
                <w:rFonts w:ascii="Times New Roman" w:hAnsi="Times New Roman" w:cs="Times New Roman"/>
              </w:rPr>
            </w:pPr>
            <w:r w:rsidRPr="00584929">
              <w:rPr>
                <w:rFonts w:ascii="Times New Roman" w:hAnsi="Times New Roman" w:cs="Times New Roman"/>
              </w:rPr>
              <w:t>Ministerstwo Spraw Wewnętrznych i Administracji</w:t>
            </w:r>
          </w:p>
        </w:tc>
        <w:tc>
          <w:tcPr>
            <w:tcW w:w="1526" w:type="dxa"/>
            <w:shd w:val="clear" w:color="auto" w:fill="auto"/>
          </w:tcPr>
          <w:p w14:paraId="3FD17FB2" w14:textId="34E3DA83" w:rsidR="0092159A" w:rsidRPr="00584929" w:rsidRDefault="001255FD" w:rsidP="004A29FC">
            <w:pPr>
              <w:rPr>
                <w:rFonts w:ascii="Times New Roman" w:hAnsi="Times New Roman" w:cs="Times New Roman"/>
              </w:rPr>
            </w:pPr>
            <w:r w:rsidRPr="00584929">
              <w:rPr>
                <w:rFonts w:ascii="Times New Roman" w:hAnsi="Times New Roman" w:cs="Times New Roman"/>
              </w:rPr>
              <w:t>Art. 37</w:t>
            </w:r>
          </w:p>
        </w:tc>
        <w:tc>
          <w:tcPr>
            <w:tcW w:w="5323" w:type="dxa"/>
            <w:shd w:val="clear" w:color="auto" w:fill="auto"/>
          </w:tcPr>
          <w:p w14:paraId="631CA262" w14:textId="028CC9F2" w:rsidR="001255FD" w:rsidRPr="00584929" w:rsidRDefault="001255FD" w:rsidP="00231C68">
            <w:pPr>
              <w:jc w:val="both"/>
              <w:rPr>
                <w:rFonts w:ascii="Times New Roman" w:hAnsi="Times New Roman" w:cs="Times New Roman"/>
              </w:rPr>
            </w:pPr>
            <w:r w:rsidRPr="00584929">
              <w:rPr>
                <w:rFonts w:ascii="Times New Roman" w:hAnsi="Times New Roman" w:cs="Times New Roman"/>
              </w:rPr>
              <w:t>W celu realizacji zadania, o którym mowa w art. 37 projektu rozważenia wymaga umożliwienie powołania, obok Koordynatora i Pełno</w:t>
            </w:r>
            <w:r w:rsidR="00A9537B" w:rsidRPr="00584929">
              <w:rPr>
                <w:rFonts w:ascii="Times New Roman" w:hAnsi="Times New Roman" w:cs="Times New Roman"/>
              </w:rPr>
              <w:t>mocników, o których mowa w </w:t>
            </w:r>
            <w:r w:rsidR="00231C68" w:rsidRPr="00584929">
              <w:rPr>
                <w:rFonts w:ascii="Times New Roman" w:hAnsi="Times New Roman" w:cs="Times New Roman"/>
              </w:rPr>
              <w:t>art. </w:t>
            </w:r>
            <w:r w:rsidRPr="00584929">
              <w:rPr>
                <w:rFonts w:ascii="Times New Roman" w:hAnsi="Times New Roman" w:cs="Times New Roman"/>
              </w:rPr>
              <w:t>35 proje</w:t>
            </w:r>
            <w:r w:rsidR="00A9537B" w:rsidRPr="00584929">
              <w:rPr>
                <w:rFonts w:ascii="Times New Roman" w:hAnsi="Times New Roman" w:cs="Times New Roman"/>
              </w:rPr>
              <w:t>ktu, pełnomocników w organach i </w:t>
            </w:r>
            <w:r w:rsidRPr="00584929">
              <w:rPr>
                <w:rFonts w:ascii="Times New Roman" w:hAnsi="Times New Roman" w:cs="Times New Roman"/>
              </w:rPr>
              <w:t>jednostkach organizacyjnych podległych lub nadzorowanych przez właściwego ministra albo Prezesa Rady Ministrów bądź rozszerzenie projektu o przepisy dotyczące możliwości wyznaczenia zastępców Pełnomocników.</w:t>
            </w:r>
          </w:p>
        </w:tc>
        <w:tc>
          <w:tcPr>
            <w:tcW w:w="4785" w:type="dxa"/>
            <w:shd w:val="clear" w:color="auto" w:fill="auto"/>
          </w:tcPr>
          <w:p w14:paraId="46AFF464" w14:textId="77777777" w:rsidR="0092159A" w:rsidRPr="00584929" w:rsidRDefault="001255FD" w:rsidP="004A29FC">
            <w:pPr>
              <w:rPr>
                <w:rFonts w:ascii="Times New Roman" w:hAnsi="Times New Roman" w:cs="Times New Roman"/>
                <w:b/>
              </w:rPr>
            </w:pPr>
            <w:r w:rsidRPr="00584929">
              <w:rPr>
                <w:rFonts w:ascii="Times New Roman" w:hAnsi="Times New Roman" w:cs="Times New Roman"/>
                <w:b/>
              </w:rPr>
              <w:t>Uwaga nieuwzględniona</w:t>
            </w:r>
          </w:p>
          <w:p w14:paraId="0785BAE8" w14:textId="77777777" w:rsidR="00A9537B" w:rsidRPr="00584929" w:rsidRDefault="00A9537B" w:rsidP="00A9537B">
            <w:pPr>
              <w:spacing w:line="259" w:lineRule="auto"/>
              <w:jc w:val="both"/>
              <w:rPr>
                <w:rFonts w:ascii="Times New Roman" w:hAnsi="Times New Roman" w:cs="Times New Roman"/>
              </w:rPr>
            </w:pPr>
            <w:r w:rsidRPr="00584929">
              <w:rPr>
                <w:rFonts w:ascii="Times New Roman" w:hAnsi="Times New Roman" w:cs="Times New Roman"/>
              </w:rPr>
              <w:t>Pozostawiona zostanie obecna procedura powoływania pełnomocników – 1 pełnomocnik reprezentujący ministerstwo i jednostki podległe, lub nadzorowane. Propozycja wskazana w uwadze mogłaby utrudniać skoordynowanie działań sieci pełnomocników. Ponadto ze względu na specyfikę danych będących w posiadaniu przez jednostki podległe lub nadzorowane, koordynacja procesu otwierania danych wydaje się być prostsza dla ministra nadzorującego wymienione jednostki, niż dla Koordynatora Programu.</w:t>
            </w:r>
          </w:p>
          <w:p w14:paraId="5C8E77D2" w14:textId="77FEF416" w:rsidR="00A9537B" w:rsidRPr="00584929" w:rsidRDefault="00A9537B" w:rsidP="00A9537B">
            <w:pPr>
              <w:spacing w:line="259" w:lineRule="auto"/>
              <w:jc w:val="both"/>
              <w:rPr>
                <w:rFonts w:ascii="Times New Roman" w:hAnsi="Times New Roman" w:cs="Times New Roman"/>
              </w:rPr>
            </w:pPr>
            <w:r w:rsidRPr="00584929">
              <w:rPr>
                <w:rFonts w:ascii="Times New Roman" w:hAnsi="Times New Roman" w:cs="Times New Roman"/>
              </w:rPr>
              <w:t xml:space="preserve">Rozważona zostanie propozycja powoływania zastępców pełnomocników.  </w:t>
            </w:r>
          </w:p>
        </w:tc>
      </w:tr>
      <w:tr w:rsidR="0092159A" w:rsidRPr="00584929" w14:paraId="5E3D88C6" w14:textId="77777777" w:rsidTr="00D94ED7">
        <w:tc>
          <w:tcPr>
            <w:tcW w:w="676" w:type="dxa"/>
            <w:shd w:val="clear" w:color="auto" w:fill="auto"/>
          </w:tcPr>
          <w:p w14:paraId="7475EFC2"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6B7BCF7F" w14:textId="799CA2C5" w:rsidR="0092159A" w:rsidRPr="00584929" w:rsidRDefault="001255FD" w:rsidP="004A29FC">
            <w:pPr>
              <w:rPr>
                <w:rFonts w:ascii="Times New Roman" w:hAnsi="Times New Roman" w:cs="Times New Roman"/>
              </w:rPr>
            </w:pPr>
            <w:r w:rsidRPr="00584929">
              <w:rPr>
                <w:rFonts w:ascii="Times New Roman" w:hAnsi="Times New Roman" w:cs="Times New Roman"/>
              </w:rPr>
              <w:t>Kancelaria Prezesa Rady Ministrów</w:t>
            </w:r>
          </w:p>
        </w:tc>
        <w:tc>
          <w:tcPr>
            <w:tcW w:w="1526" w:type="dxa"/>
            <w:shd w:val="clear" w:color="auto" w:fill="auto"/>
          </w:tcPr>
          <w:p w14:paraId="07D43C3E" w14:textId="454802C9" w:rsidR="0092159A" w:rsidRPr="00584929" w:rsidRDefault="001255FD" w:rsidP="004A29FC">
            <w:pPr>
              <w:rPr>
                <w:rFonts w:ascii="Times New Roman" w:hAnsi="Times New Roman" w:cs="Times New Roman"/>
              </w:rPr>
            </w:pPr>
            <w:r w:rsidRPr="00584929">
              <w:rPr>
                <w:rFonts w:ascii="Times New Roman" w:hAnsi="Times New Roman" w:cs="Times New Roman"/>
              </w:rPr>
              <w:t>Art. 37 i art. 28</w:t>
            </w:r>
          </w:p>
        </w:tc>
        <w:tc>
          <w:tcPr>
            <w:tcW w:w="5323" w:type="dxa"/>
            <w:shd w:val="clear" w:color="auto" w:fill="auto"/>
          </w:tcPr>
          <w:p w14:paraId="7417C8CC" w14:textId="26F00C82" w:rsidR="0092159A" w:rsidRPr="00584929" w:rsidRDefault="001255FD" w:rsidP="00231C68">
            <w:pPr>
              <w:jc w:val="both"/>
              <w:rPr>
                <w:rFonts w:ascii="Times New Roman" w:hAnsi="Times New Roman" w:cs="Times New Roman"/>
              </w:rPr>
            </w:pPr>
            <w:r w:rsidRPr="00584929">
              <w:rPr>
                <w:rFonts w:ascii="Times New Roman" w:hAnsi="Times New Roman" w:cs="Times New Roman"/>
              </w:rPr>
              <w:t>Niektóre zadania Pełnomocnika, określone w art. 37 pr</w:t>
            </w:r>
            <w:r w:rsidR="00231C68" w:rsidRPr="00584929">
              <w:rPr>
                <w:rFonts w:ascii="Times New Roman" w:hAnsi="Times New Roman" w:cs="Times New Roman"/>
              </w:rPr>
              <w:t>ojektu, mają dotyczyć organów i </w:t>
            </w:r>
            <w:r w:rsidRPr="00584929">
              <w:rPr>
                <w:rFonts w:ascii="Times New Roman" w:hAnsi="Times New Roman" w:cs="Times New Roman"/>
              </w:rPr>
              <w:t xml:space="preserve">jednostek organizacyjnych podległych lub nadzorowanych przez właściwego ministra albo Prezesa Rady Ministrów. Uwzględniając katalog organów, które obowiązkowo wyznaczają Pełnomocnika (art. 35 ust. 2 projektu), oraz zasadę, że Pełnomocnicy mają uczestniczyć we wdrażaniu Programu, powstaje wrażenie, że Program ma dotyczyć tylko tych urzędów, w których wyznacza się Pełnomocnika, oraz urzędów organów podporządkowanych Prezesowi Rady Ministrów i ministrom kierującym działami administracji rządowej. Kompetencje Pełnomocników miałyby dotyczyć tylko organów podporządkowanych bezpośrednio, natomiast sam Program, jak należy rozumieć z art. 28 projektu, dotyczyłby całej administracji rządowej (uwzględniając wskazane wyżej ograniczenie wynikające z art. 93 Konstytucji). Kwestię tę należy wyjaśnić lub odpowiednio zmodyfikować projekt. Nie jest też jasne, który Pełnomocnik będzie właściwy w przypadku organów </w:t>
            </w:r>
            <w:r w:rsidRPr="00584929">
              <w:rPr>
                <w:rFonts w:ascii="Times New Roman" w:hAnsi="Times New Roman" w:cs="Times New Roman"/>
              </w:rPr>
              <w:lastRenderedPageBreak/>
              <w:t>podporządkowany</w:t>
            </w:r>
            <w:r w:rsidR="00231C68" w:rsidRPr="00584929">
              <w:rPr>
                <w:rFonts w:ascii="Times New Roman" w:hAnsi="Times New Roman" w:cs="Times New Roman"/>
              </w:rPr>
              <w:t>ch dwóm organom (np. wojewoda i </w:t>
            </w:r>
            <w:r w:rsidRPr="00584929">
              <w:rPr>
                <w:rFonts w:ascii="Times New Roman" w:hAnsi="Times New Roman" w:cs="Times New Roman"/>
              </w:rPr>
              <w:t>organy administracji zespolonej).</w:t>
            </w:r>
          </w:p>
        </w:tc>
        <w:tc>
          <w:tcPr>
            <w:tcW w:w="4785" w:type="dxa"/>
            <w:shd w:val="clear" w:color="auto" w:fill="auto"/>
          </w:tcPr>
          <w:p w14:paraId="215D6CF5" w14:textId="5CBF5401" w:rsidR="0092159A" w:rsidRPr="00584929" w:rsidRDefault="001255FD" w:rsidP="00A9537B">
            <w:pPr>
              <w:rPr>
                <w:rFonts w:ascii="Times New Roman" w:hAnsi="Times New Roman" w:cs="Times New Roman"/>
                <w:b/>
              </w:rPr>
            </w:pPr>
            <w:r w:rsidRPr="00584929">
              <w:rPr>
                <w:rFonts w:ascii="Times New Roman" w:hAnsi="Times New Roman" w:cs="Times New Roman"/>
                <w:b/>
              </w:rPr>
              <w:lastRenderedPageBreak/>
              <w:t xml:space="preserve">Uwaga </w:t>
            </w:r>
            <w:r w:rsidR="00A9537B" w:rsidRPr="00584929">
              <w:rPr>
                <w:rFonts w:ascii="Times New Roman" w:hAnsi="Times New Roman" w:cs="Times New Roman"/>
                <w:b/>
              </w:rPr>
              <w:t xml:space="preserve">uwzględniona </w:t>
            </w:r>
          </w:p>
          <w:p w14:paraId="4F7F35BE" w14:textId="1F0CEDE8" w:rsidR="00A9537B" w:rsidRPr="00584929" w:rsidRDefault="00A9537B" w:rsidP="00A9537B">
            <w:pPr>
              <w:rPr>
                <w:rFonts w:ascii="Times New Roman" w:hAnsi="Times New Roman" w:cs="Times New Roman"/>
              </w:rPr>
            </w:pPr>
            <w:r w:rsidRPr="00584929">
              <w:rPr>
                <w:rFonts w:ascii="Times New Roman" w:hAnsi="Times New Roman" w:cs="Times New Roman"/>
              </w:rPr>
              <w:t>Przepisy zostaną zmienione.</w:t>
            </w:r>
          </w:p>
        </w:tc>
      </w:tr>
      <w:tr w:rsidR="00045661" w:rsidRPr="00584929" w14:paraId="71B0429A" w14:textId="77777777" w:rsidTr="00D94ED7">
        <w:tc>
          <w:tcPr>
            <w:tcW w:w="676" w:type="dxa"/>
            <w:shd w:val="clear" w:color="auto" w:fill="auto"/>
          </w:tcPr>
          <w:p w14:paraId="6B072152" w14:textId="1829C188" w:rsidR="00045661" w:rsidRPr="00584929" w:rsidRDefault="00045661" w:rsidP="004A29FC">
            <w:pPr>
              <w:pStyle w:val="Akapitzlist"/>
              <w:numPr>
                <w:ilvl w:val="0"/>
                <w:numId w:val="20"/>
              </w:numPr>
              <w:rPr>
                <w:sz w:val="22"/>
                <w:szCs w:val="22"/>
              </w:rPr>
            </w:pPr>
          </w:p>
        </w:tc>
        <w:tc>
          <w:tcPr>
            <w:tcW w:w="1968" w:type="dxa"/>
            <w:shd w:val="clear" w:color="auto" w:fill="auto"/>
          </w:tcPr>
          <w:p w14:paraId="0B964367" w14:textId="77803FEE" w:rsidR="00045661" w:rsidRPr="00584929" w:rsidRDefault="00045661"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34420E3B" w14:textId="77777777" w:rsidR="00045661" w:rsidRPr="00584929" w:rsidRDefault="00045661" w:rsidP="00045661">
            <w:pPr>
              <w:rPr>
                <w:rFonts w:ascii="Times New Roman" w:hAnsi="Times New Roman" w:cs="Times New Roman"/>
              </w:rPr>
            </w:pPr>
            <w:r w:rsidRPr="00584929">
              <w:rPr>
                <w:rFonts w:ascii="Times New Roman" w:hAnsi="Times New Roman" w:cs="Times New Roman"/>
              </w:rPr>
              <w:t>Art. 37</w:t>
            </w:r>
          </w:p>
          <w:p w14:paraId="1EA46D29" w14:textId="6528AE78" w:rsidR="00045661" w:rsidRPr="00584929" w:rsidRDefault="00045661" w:rsidP="00045661">
            <w:pPr>
              <w:rPr>
                <w:rFonts w:ascii="Times New Roman" w:hAnsi="Times New Roman" w:cs="Times New Roman"/>
              </w:rPr>
            </w:pPr>
            <w:r w:rsidRPr="00584929">
              <w:rPr>
                <w:rFonts w:ascii="Times New Roman" w:hAnsi="Times New Roman" w:cs="Times New Roman"/>
              </w:rPr>
              <w:t>Rozdział 8</w:t>
            </w:r>
          </w:p>
        </w:tc>
        <w:tc>
          <w:tcPr>
            <w:tcW w:w="5323" w:type="dxa"/>
            <w:shd w:val="clear" w:color="auto" w:fill="auto"/>
          </w:tcPr>
          <w:p w14:paraId="24FC6DDA" w14:textId="4CA3603C" w:rsidR="00045661" w:rsidRPr="00584929" w:rsidRDefault="00045661" w:rsidP="00231C68">
            <w:pPr>
              <w:jc w:val="both"/>
              <w:rPr>
                <w:rFonts w:ascii="Times New Roman" w:hAnsi="Times New Roman" w:cs="Times New Roman"/>
              </w:rPr>
            </w:pPr>
            <w:r w:rsidRPr="00584929">
              <w:rPr>
                <w:rFonts w:ascii="Times New Roman" w:hAnsi="Times New Roman" w:cs="Times New Roman"/>
              </w:rPr>
              <w:t>Rozdział 8 – Pełnomocnicy do spraw otwartości danych - ponieważ opisane w rozdziale 8 zadania pełnomocników i koordynatora są nierozerwalnie związane z Programem  Otwierania Danych, o którym mowa w rozdziale 6 sugeruje się połącznie tych dwóch grup przepisów w jedną jednostkę systematyzacyjną, pod adekwatnym do jej treści tytułem. Ponadto, w związku z powołaniem nowych podmiotów (pełnomocników) może okazać się konieczna zmiana struktury organizacyjnej ministerstw i urzędów oraz dostosowania ich statutów lub regulaminów organizacyjnych w tym zakresie – kwestia ta wymaga analizy i ewentualnego uzupełnienia w projekcie i jego przepisach przejściowych i dostosowujących. Do ponownej analizy projektodawcy należy również pozostawić zasadność umieszczenia w zakresie zadań pełnomocników, o których mowa w art. 37 projektu ustawy, nie tylko zadań związanych z programem otwartych danych, ale również wykonywania pozostałych zadań wy</w:t>
            </w:r>
            <w:r w:rsidR="00231C68" w:rsidRPr="00584929">
              <w:rPr>
                <w:rFonts w:ascii="Times New Roman" w:hAnsi="Times New Roman" w:cs="Times New Roman"/>
              </w:rPr>
              <w:t>nikających z ustawy w związku z </w:t>
            </w:r>
            <w:r w:rsidRPr="00584929">
              <w:rPr>
                <w:rFonts w:ascii="Times New Roman" w:hAnsi="Times New Roman" w:cs="Times New Roman"/>
              </w:rPr>
              <w:t>udostępnianiem lub przekazywaniem informacji sektora publicznego do ponownego wykorzystywania.</w:t>
            </w:r>
          </w:p>
        </w:tc>
        <w:tc>
          <w:tcPr>
            <w:tcW w:w="4785" w:type="dxa"/>
            <w:shd w:val="clear" w:color="auto" w:fill="auto"/>
          </w:tcPr>
          <w:p w14:paraId="4507D724" w14:textId="2765AEBD" w:rsidR="00045661" w:rsidRPr="00584929" w:rsidRDefault="000903C5" w:rsidP="004A29FC">
            <w:pPr>
              <w:rPr>
                <w:rFonts w:ascii="Times New Roman" w:hAnsi="Times New Roman" w:cs="Times New Roman"/>
                <w:b/>
              </w:rPr>
            </w:pPr>
            <w:r w:rsidRPr="00584929">
              <w:rPr>
                <w:rFonts w:ascii="Times New Roman" w:hAnsi="Times New Roman" w:cs="Times New Roman"/>
                <w:b/>
              </w:rPr>
              <w:t xml:space="preserve">Uwaga wyjaśniona </w:t>
            </w:r>
          </w:p>
          <w:p w14:paraId="64A13FEF" w14:textId="5B9F54BF" w:rsidR="000903C5" w:rsidRPr="00584929" w:rsidRDefault="000903C5" w:rsidP="000903C5">
            <w:pPr>
              <w:jc w:val="both"/>
              <w:rPr>
                <w:rFonts w:ascii="Times New Roman" w:hAnsi="Times New Roman" w:cs="Times New Roman"/>
              </w:rPr>
            </w:pPr>
            <w:r w:rsidRPr="00584929">
              <w:rPr>
                <w:rFonts w:ascii="Times New Roman" w:hAnsi="Times New Roman" w:cs="Times New Roman"/>
              </w:rPr>
              <w:t>Przepisy zostaną poddane dodatkowej analizie w ramach rozpatrzenia projektu ustawy przez Komisję prawniczą.</w:t>
            </w:r>
          </w:p>
          <w:p w14:paraId="08620A72" w14:textId="77777777" w:rsidR="00C02E90" w:rsidRPr="00584929" w:rsidRDefault="00C02E90" w:rsidP="000903C5">
            <w:pPr>
              <w:jc w:val="both"/>
              <w:rPr>
                <w:rFonts w:ascii="Times New Roman" w:hAnsi="Times New Roman" w:cs="Times New Roman"/>
              </w:rPr>
            </w:pPr>
          </w:p>
          <w:p w14:paraId="4CAADDB9" w14:textId="26AC887F" w:rsidR="000903C5" w:rsidRPr="00584929" w:rsidRDefault="000903C5" w:rsidP="000903C5">
            <w:pPr>
              <w:rPr>
                <w:rFonts w:ascii="Times New Roman" w:hAnsi="Times New Roman" w:cs="Times New Roman"/>
              </w:rPr>
            </w:pPr>
            <w:r w:rsidRPr="00584929">
              <w:rPr>
                <w:rFonts w:ascii="Times New Roman" w:hAnsi="Times New Roman" w:cs="Times New Roman"/>
              </w:rPr>
              <w:t>Wyjaśnienia dodatkowe:</w:t>
            </w:r>
          </w:p>
          <w:p w14:paraId="0B15877D" w14:textId="50035C5B" w:rsidR="000903C5" w:rsidRPr="00584929" w:rsidRDefault="000903C5" w:rsidP="000903C5">
            <w:pPr>
              <w:jc w:val="both"/>
              <w:rPr>
                <w:rFonts w:ascii="Times New Roman" w:hAnsi="Times New Roman" w:cs="Times New Roman"/>
              </w:rPr>
            </w:pPr>
            <w:r w:rsidRPr="00584929">
              <w:rPr>
                <w:rFonts w:ascii="Times New Roman" w:hAnsi="Times New Roman" w:cs="Times New Roman"/>
              </w:rPr>
              <w:t xml:space="preserve">Nowe podejście - jako realizatorzy Programu otwierania danych </w:t>
            </w:r>
            <w:r w:rsidR="00C02E90" w:rsidRPr="00584929">
              <w:rPr>
                <w:rFonts w:ascii="Times New Roman" w:hAnsi="Times New Roman" w:cs="Times New Roman"/>
              </w:rPr>
              <w:t xml:space="preserve">zostaną </w:t>
            </w:r>
            <w:r w:rsidRPr="00584929">
              <w:rPr>
                <w:rFonts w:ascii="Times New Roman" w:hAnsi="Times New Roman" w:cs="Times New Roman"/>
              </w:rPr>
              <w:t>wskazan</w:t>
            </w:r>
            <w:r w:rsidR="00C02E90" w:rsidRPr="00584929">
              <w:rPr>
                <w:rFonts w:ascii="Times New Roman" w:hAnsi="Times New Roman" w:cs="Times New Roman"/>
              </w:rPr>
              <w:t>i</w:t>
            </w:r>
            <w:r w:rsidRPr="00584929">
              <w:rPr>
                <w:rFonts w:ascii="Times New Roman" w:hAnsi="Times New Roman" w:cs="Times New Roman"/>
              </w:rPr>
              <w:t xml:space="preserve"> członk</w:t>
            </w:r>
            <w:r w:rsidR="00C02E90" w:rsidRPr="00584929">
              <w:rPr>
                <w:rFonts w:ascii="Times New Roman" w:hAnsi="Times New Roman" w:cs="Times New Roman"/>
              </w:rPr>
              <w:t>owie</w:t>
            </w:r>
            <w:r w:rsidRPr="00584929">
              <w:rPr>
                <w:rFonts w:ascii="Times New Roman" w:hAnsi="Times New Roman" w:cs="Times New Roman"/>
              </w:rPr>
              <w:t xml:space="preserve"> Rady Ministrów oraz Prezes </w:t>
            </w:r>
            <w:r w:rsidR="00C02E90" w:rsidRPr="00584929">
              <w:rPr>
                <w:rFonts w:ascii="Times New Roman" w:hAnsi="Times New Roman" w:cs="Times New Roman"/>
              </w:rPr>
              <w:t xml:space="preserve">Głównego Urzędu Statystycznego. </w:t>
            </w:r>
            <w:r w:rsidRPr="00584929">
              <w:rPr>
                <w:rFonts w:ascii="Times New Roman" w:hAnsi="Times New Roman" w:cs="Times New Roman"/>
              </w:rPr>
              <w:t xml:space="preserve">Natomiast Pełnomocnikom przypisano rolę wspierającą realizatorów </w:t>
            </w:r>
            <w:r w:rsidR="00C02E90" w:rsidRPr="00584929">
              <w:rPr>
                <w:rFonts w:ascii="Times New Roman" w:hAnsi="Times New Roman" w:cs="Times New Roman"/>
              </w:rPr>
              <w:t>Programu,</w:t>
            </w:r>
            <w:r w:rsidRPr="00584929">
              <w:rPr>
                <w:rFonts w:ascii="Times New Roman" w:hAnsi="Times New Roman" w:cs="Times New Roman"/>
              </w:rPr>
              <w:t xml:space="preserve"> </w:t>
            </w:r>
          </w:p>
          <w:p w14:paraId="7085B663" w14:textId="6BC890A5" w:rsidR="000903C5" w:rsidRPr="00584929" w:rsidRDefault="00C02E90" w:rsidP="00C02E90">
            <w:pPr>
              <w:jc w:val="both"/>
              <w:rPr>
                <w:rFonts w:ascii="Times New Roman" w:hAnsi="Times New Roman" w:cs="Times New Roman"/>
              </w:rPr>
            </w:pPr>
            <w:r w:rsidRPr="00584929">
              <w:rPr>
                <w:rFonts w:ascii="Times New Roman" w:hAnsi="Times New Roman" w:cs="Times New Roman"/>
              </w:rPr>
              <w:t xml:space="preserve">Dodatkowo nastąpią zmiany </w:t>
            </w:r>
            <w:r w:rsidR="000903C5" w:rsidRPr="00584929">
              <w:rPr>
                <w:rFonts w:ascii="Times New Roman" w:hAnsi="Times New Roman" w:cs="Times New Roman"/>
              </w:rPr>
              <w:t>w rozmieszczeniu poszczególnyc</w:t>
            </w:r>
            <w:r w:rsidRPr="00584929">
              <w:rPr>
                <w:rFonts w:ascii="Times New Roman" w:hAnsi="Times New Roman" w:cs="Times New Roman"/>
              </w:rPr>
              <w:t xml:space="preserve">h artykułów w ramach rozdziałów projektowanej ustawy. </w:t>
            </w:r>
          </w:p>
          <w:p w14:paraId="5EAE0376" w14:textId="77777777" w:rsidR="000903C5" w:rsidRPr="00584929" w:rsidRDefault="000903C5" w:rsidP="000903C5">
            <w:pPr>
              <w:rPr>
                <w:rFonts w:ascii="Times New Roman" w:hAnsi="Times New Roman" w:cs="Times New Roman"/>
              </w:rPr>
            </w:pPr>
          </w:p>
          <w:p w14:paraId="030F0144" w14:textId="6372C54C" w:rsidR="000903C5" w:rsidRPr="00584929" w:rsidRDefault="000903C5" w:rsidP="00C02E90">
            <w:pPr>
              <w:rPr>
                <w:rFonts w:ascii="Times New Roman" w:hAnsi="Times New Roman" w:cs="Times New Roman"/>
                <w:b/>
              </w:rPr>
            </w:pPr>
          </w:p>
        </w:tc>
      </w:tr>
      <w:tr w:rsidR="004873A1" w:rsidRPr="00584929" w14:paraId="391C91DB" w14:textId="77777777" w:rsidTr="00D94ED7">
        <w:tc>
          <w:tcPr>
            <w:tcW w:w="676" w:type="dxa"/>
            <w:shd w:val="clear" w:color="auto" w:fill="auto"/>
          </w:tcPr>
          <w:p w14:paraId="0DB5600D"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02327A10" w14:textId="51CC3EC2" w:rsidR="004873A1" w:rsidRPr="00584929" w:rsidRDefault="004873A1" w:rsidP="004A29FC">
            <w:pPr>
              <w:rPr>
                <w:rFonts w:ascii="Times New Roman" w:hAnsi="Times New Roman" w:cs="Times New Roman"/>
              </w:rPr>
            </w:pPr>
            <w:r w:rsidRPr="00584929">
              <w:rPr>
                <w:rFonts w:ascii="Times New Roman" w:hAnsi="Times New Roman" w:cs="Times New Roman"/>
              </w:rPr>
              <w:t>Ministerstwo Klimatu</w:t>
            </w:r>
          </w:p>
        </w:tc>
        <w:tc>
          <w:tcPr>
            <w:tcW w:w="1526" w:type="dxa"/>
            <w:shd w:val="clear" w:color="auto" w:fill="auto"/>
          </w:tcPr>
          <w:p w14:paraId="65817926" w14:textId="66D12B55" w:rsidR="004873A1" w:rsidRPr="00584929" w:rsidRDefault="004873A1" w:rsidP="004A29FC">
            <w:pPr>
              <w:rPr>
                <w:rFonts w:ascii="Times New Roman" w:hAnsi="Times New Roman" w:cs="Times New Roman"/>
              </w:rPr>
            </w:pPr>
            <w:r w:rsidRPr="00584929">
              <w:rPr>
                <w:rFonts w:ascii="Times New Roman" w:hAnsi="Times New Roman" w:cs="Times New Roman"/>
              </w:rPr>
              <w:t>Art. 40 ust. 2</w:t>
            </w:r>
          </w:p>
        </w:tc>
        <w:tc>
          <w:tcPr>
            <w:tcW w:w="5323" w:type="dxa"/>
            <w:shd w:val="clear" w:color="auto" w:fill="auto"/>
          </w:tcPr>
          <w:p w14:paraId="66D814F7" w14:textId="01B7B6B9" w:rsidR="004873A1" w:rsidRPr="00584929" w:rsidRDefault="004873A1" w:rsidP="00231C68">
            <w:pPr>
              <w:jc w:val="both"/>
              <w:rPr>
                <w:rFonts w:ascii="Times New Roman" w:hAnsi="Times New Roman" w:cs="Times New Roman"/>
              </w:rPr>
            </w:pPr>
            <w:r w:rsidRPr="00584929">
              <w:rPr>
                <w:rFonts w:ascii="Times New Roman" w:hAnsi="Times New Roman" w:cs="Times New Roman"/>
              </w:rPr>
              <w:t>Wątpliwości budzi brak określenia w przepisach projektu ustawy szczegółowych zasad związanych ze składanym sprzeciwem. Należy rozważyć określenie formy i sposobu wniesienia sprzeciwu oraz jego zawartości (uzasadnienie).nie Określenie ww. warunków jest istotne ze względu na konieczność wydania decyzji administracyjnej w wyniku złożenia sprzeciwu, ewentualne postępowanie odwoławcze czy też postępowanie przed sądem w wyniku złożenia skargi na decyzję administracyjną (np. ustalenie czy sprze</w:t>
            </w:r>
            <w:r w:rsidR="005D7E93" w:rsidRPr="00584929">
              <w:rPr>
                <w:rFonts w:ascii="Times New Roman" w:hAnsi="Times New Roman" w:cs="Times New Roman"/>
              </w:rPr>
              <w:t>ciw został złożony w terminie).</w:t>
            </w:r>
          </w:p>
          <w:p w14:paraId="0AA93E1F" w14:textId="77777777" w:rsidR="004873A1" w:rsidRPr="00584929" w:rsidRDefault="004873A1" w:rsidP="00231C68">
            <w:pPr>
              <w:jc w:val="both"/>
              <w:rPr>
                <w:rFonts w:ascii="Times New Roman" w:hAnsi="Times New Roman" w:cs="Times New Roman"/>
              </w:rPr>
            </w:pPr>
            <w:r w:rsidRPr="00584929">
              <w:rPr>
                <w:rFonts w:ascii="Times New Roman" w:hAnsi="Times New Roman" w:cs="Times New Roman"/>
              </w:rPr>
              <w:t>Proponowane brzmienie:</w:t>
            </w:r>
          </w:p>
          <w:p w14:paraId="19C0DE71" w14:textId="77777777" w:rsidR="004873A1" w:rsidRPr="00584929" w:rsidRDefault="004873A1" w:rsidP="00231C68">
            <w:pPr>
              <w:jc w:val="both"/>
              <w:rPr>
                <w:rFonts w:ascii="Times New Roman" w:hAnsi="Times New Roman" w:cs="Times New Roman"/>
              </w:rPr>
            </w:pPr>
            <w:r w:rsidRPr="00584929">
              <w:rPr>
                <w:rFonts w:ascii="Times New Roman" w:hAnsi="Times New Roman" w:cs="Times New Roman"/>
              </w:rPr>
              <w:lastRenderedPageBreak/>
              <w:t>Dodanie ustępu bądź artykułu określającego szczegóły związane ze składanym sprzeciwem. Określenie sposobu wniesienia sprzeciwu, jego</w:t>
            </w:r>
          </w:p>
          <w:p w14:paraId="33118FA2" w14:textId="7FE98BF4" w:rsidR="004873A1" w:rsidRPr="00584929" w:rsidRDefault="004873A1" w:rsidP="00231C68">
            <w:pPr>
              <w:jc w:val="both"/>
              <w:rPr>
                <w:rFonts w:ascii="Times New Roman" w:hAnsi="Times New Roman" w:cs="Times New Roman"/>
              </w:rPr>
            </w:pPr>
            <w:r w:rsidRPr="00584929">
              <w:rPr>
                <w:rFonts w:ascii="Times New Roman" w:hAnsi="Times New Roman" w:cs="Times New Roman"/>
              </w:rPr>
              <w:t>formy oraz zawartość (uzasadnienie).</w:t>
            </w:r>
          </w:p>
        </w:tc>
        <w:tc>
          <w:tcPr>
            <w:tcW w:w="4785" w:type="dxa"/>
            <w:shd w:val="clear" w:color="auto" w:fill="auto"/>
          </w:tcPr>
          <w:p w14:paraId="5E09AD72" w14:textId="77777777" w:rsidR="004873A1" w:rsidRPr="00584929" w:rsidRDefault="004873A1" w:rsidP="004A29FC">
            <w:pPr>
              <w:rPr>
                <w:rFonts w:ascii="Times New Roman" w:hAnsi="Times New Roman" w:cs="Times New Roman"/>
                <w:b/>
              </w:rPr>
            </w:pPr>
            <w:r w:rsidRPr="00584929">
              <w:rPr>
                <w:rFonts w:ascii="Times New Roman" w:hAnsi="Times New Roman" w:cs="Times New Roman"/>
                <w:b/>
              </w:rPr>
              <w:lastRenderedPageBreak/>
              <w:t>Uwaga nieuwzględniona</w:t>
            </w:r>
          </w:p>
          <w:p w14:paraId="30C795E3" w14:textId="56390744" w:rsidR="00E82677" w:rsidRPr="00584929" w:rsidRDefault="00CE6B6C" w:rsidP="00CE6B6C">
            <w:pPr>
              <w:jc w:val="both"/>
              <w:rPr>
                <w:rFonts w:ascii="Times New Roman" w:hAnsi="Times New Roman" w:cs="Times New Roman"/>
              </w:rPr>
            </w:pPr>
            <w:r w:rsidRPr="00584929">
              <w:rPr>
                <w:rFonts w:ascii="Times New Roman" w:hAnsi="Times New Roman" w:cs="Times New Roman"/>
              </w:rPr>
              <w:t xml:space="preserve">Projektodawca stoi na stanowisku pozostawienia omawianych przepisów bez zmian (bez nadmiernego regulacji). Projektowane przepisy w zasadniczej części są tożsame z obecnie obowiązującymi regulacjami ustawy z 2016 r. i nie budziły jak dotąd istotnych wątpliwości.  </w:t>
            </w:r>
            <w:r w:rsidR="00E82677" w:rsidRPr="00584929">
              <w:rPr>
                <w:rFonts w:ascii="Times New Roman" w:hAnsi="Times New Roman" w:cs="Times New Roman"/>
              </w:rPr>
              <w:t>Sprzeciw może być wyrażony w jakikolwiek sposób w formie pisemnej lub elektronicznej.</w:t>
            </w:r>
          </w:p>
          <w:p w14:paraId="6467AD37" w14:textId="77777777" w:rsidR="00E82677" w:rsidRPr="00584929" w:rsidRDefault="00E82677" w:rsidP="004A29FC">
            <w:pPr>
              <w:rPr>
                <w:rFonts w:ascii="Times New Roman" w:hAnsi="Times New Roman" w:cs="Times New Roman"/>
              </w:rPr>
            </w:pPr>
          </w:p>
          <w:p w14:paraId="0A647E10" w14:textId="77777777" w:rsidR="00E82677" w:rsidRPr="00584929" w:rsidRDefault="00E82677" w:rsidP="004A29FC">
            <w:pPr>
              <w:rPr>
                <w:rFonts w:ascii="Times New Roman" w:hAnsi="Times New Roman" w:cs="Times New Roman"/>
                <w:b/>
              </w:rPr>
            </w:pPr>
          </w:p>
          <w:p w14:paraId="43C008C0" w14:textId="7371BAE7" w:rsidR="00CE6B6C" w:rsidRPr="00584929" w:rsidRDefault="00CE6B6C" w:rsidP="00CE6B6C">
            <w:pPr>
              <w:rPr>
                <w:rFonts w:ascii="Times New Roman" w:hAnsi="Times New Roman" w:cs="Times New Roman"/>
                <w:b/>
              </w:rPr>
            </w:pPr>
          </w:p>
        </w:tc>
      </w:tr>
      <w:tr w:rsidR="004873A1" w:rsidRPr="00584929" w14:paraId="3B597991" w14:textId="77777777" w:rsidTr="00D94ED7">
        <w:tc>
          <w:tcPr>
            <w:tcW w:w="676" w:type="dxa"/>
            <w:shd w:val="clear" w:color="auto" w:fill="auto"/>
          </w:tcPr>
          <w:p w14:paraId="7D1E2C55"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0997BF14" w14:textId="340C575F" w:rsidR="004873A1" w:rsidRPr="00584929" w:rsidRDefault="004873A1" w:rsidP="004A29FC">
            <w:pPr>
              <w:rPr>
                <w:rFonts w:ascii="Times New Roman" w:hAnsi="Times New Roman" w:cs="Times New Roman"/>
              </w:rPr>
            </w:pPr>
            <w:r w:rsidRPr="00584929">
              <w:rPr>
                <w:rFonts w:ascii="Times New Roman" w:hAnsi="Times New Roman" w:cs="Times New Roman"/>
              </w:rPr>
              <w:t>Kancelaria Prezesa Rady Ministrów</w:t>
            </w:r>
          </w:p>
        </w:tc>
        <w:tc>
          <w:tcPr>
            <w:tcW w:w="1526" w:type="dxa"/>
            <w:shd w:val="clear" w:color="auto" w:fill="auto"/>
          </w:tcPr>
          <w:p w14:paraId="1D8A2208" w14:textId="5FF445AA" w:rsidR="004873A1" w:rsidRPr="00584929" w:rsidRDefault="004873A1" w:rsidP="004A29FC">
            <w:pPr>
              <w:rPr>
                <w:rFonts w:ascii="Times New Roman" w:hAnsi="Times New Roman" w:cs="Times New Roman"/>
              </w:rPr>
            </w:pPr>
            <w:r w:rsidRPr="00584929">
              <w:rPr>
                <w:rFonts w:ascii="Times New Roman" w:hAnsi="Times New Roman" w:cs="Times New Roman"/>
              </w:rPr>
              <w:t>Art. 40 ust. 4 i 5</w:t>
            </w:r>
          </w:p>
        </w:tc>
        <w:tc>
          <w:tcPr>
            <w:tcW w:w="5323" w:type="dxa"/>
            <w:shd w:val="clear" w:color="auto" w:fill="auto"/>
          </w:tcPr>
          <w:p w14:paraId="5748567C" w14:textId="686B4A92" w:rsidR="004873A1" w:rsidRPr="00584929" w:rsidRDefault="004873A1" w:rsidP="00231C68">
            <w:pPr>
              <w:jc w:val="both"/>
              <w:rPr>
                <w:rFonts w:ascii="Times New Roman" w:hAnsi="Times New Roman" w:cs="Times New Roman"/>
              </w:rPr>
            </w:pPr>
            <w:r w:rsidRPr="00584929">
              <w:rPr>
                <w:rFonts w:ascii="Times New Roman" w:hAnsi="Times New Roman" w:cs="Times New Roman"/>
              </w:rPr>
              <w:t xml:space="preserve">Prawo do odmowy wyrażenia zgody na ponowne wykorzystywanie informacji sektora publicznego (art. 40 ust. 4 lub 5 projektu) powinno dodatkowo uwzględniać uzasadnione przypadki zapewnienia ochrony interesów podmiotu zobowiązanego, w tym zapewnienie niezakłóconej realizacji zadań publicznych lub bezpieczeństwa jednostki. Zagrożenie dla podmiotu zobowiązanego jest bezpośrednio związane ze zbyt szerokim zakresem pojęcia „informacja sektora publicznego”, określonego w art. 2 pkt 8 projektu. Ponieważ informacją sektora publicznego będzie każda informacja posiadana przez podmiot zobowiązany, to będą nią również informacje należące do kategorii informacji wrażliwych, które formalnie nie są objęte ochroną jako tajemnica ustawowo chroniona. Przykładowo dotyczy to loginów i haseł do systemów informatycznych, adresów serwerów, struktury plików, szczegółowych planów budynku, remontów, sieci przesyłowych, procedur bezpieczeństwa, a także takich informacji, jak materiały wewnętrzne i urzędów, które obecnie nie są uznawane za informację publiczną. Najistotniejsze jest, że podmiot zobowiązany nie będzie mieć prawnych możliwości ograniczenia ponownego przetwarzania informacji tego rodzaju. Przy czym informacje te, jeżeli zostaną odpowiednio wykorzystane, mogą umożliwić, ułatwić albo spowodować zakłócenie realizacji zadań publicznych, a w skrajnym przypadku zagrozić bezpieczeństwu jednostki lub jej pracowników. Z tego powodu podmioty zobowiązane powinny mieć możliwość odmowy wyrażenia zgody na ponowne wykorzystanie niektórych informacji sektora publicznego. Tym bardziej, </w:t>
            </w:r>
            <w:r w:rsidRPr="00584929">
              <w:rPr>
                <w:rFonts w:ascii="Times New Roman" w:hAnsi="Times New Roman" w:cs="Times New Roman"/>
              </w:rPr>
              <w:lastRenderedPageBreak/>
              <w:t>gdy informacje tego rodzaju nie mają potencjału gospodarczego, społecznego ani innowacyjnego oraz znaczenia dla osiągnięcia ogólnego celu wydania dyrektywy, którym zgodnie z art. 1 ust. 1 dyrektywy jest propagowanie wykorzystywania otwartych da</w:t>
            </w:r>
            <w:r w:rsidR="00224576" w:rsidRPr="00584929">
              <w:rPr>
                <w:rFonts w:ascii="Times New Roman" w:hAnsi="Times New Roman" w:cs="Times New Roman"/>
              </w:rPr>
              <w:t>nych i </w:t>
            </w:r>
            <w:r w:rsidR="00231C68" w:rsidRPr="00584929">
              <w:rPr>
                <w:rFonts w:ascii="Times New Roman" w:hAnsi="Times New Roman" w:cs="Times New Roman"/>
              </w:rPr>
              <w:t>stymulowanie innowacji w </w:t>
            </w:r>
            <w:r w:rsidRPr="00584929">
              <w:rPr>
                <w:rFonts w:ascii="Times New Roman" w:hAnsi="Times New Roman" w:cs="Times New Roman"/>
              </w:rPr>
              <w:t>produktach i usługach.</w:t>
            </w:r>
          </w:p>
        </w:tc>
        <w:tc>
          <w:tcPr>
            <w:tcW w:w="4785" w:type="dxa"/>
            <w:shd w:val="clear" w:color="auto" w:fill="auto"/>
          </w:tcPr>
          <w:p w14:paraId="05F28E57" w14:textId="77777777" w:rsidR="004873A1" w:rsidRPr="00584929" w:rsidRDefault="00F42870" w:rsidP="00E82677">
            <w:pPr>
              <w:rPr>
                <w:rFonts w:ascii="Times New Roman" w:hAnsi="Times New Roman" w:cs="Times New Roman"/>
                <w:b/>
              </w:rPr>
            </w:pPr>
            <w:r w:rsidRPr="00584929">
              <w:rPr>
                <w:rFonts w:ascii="Times New Roman" w:hAnsi="Times New Roman" w:cs="Times New Roman"/>
                <w:b/>
              </w:rPr>
              <w:lastRenderedPageBreak/>
              <w:t xml:space="preserve">Uwaga </w:t>
            </w:r>
            <w:r w:rsidR="00E82677" w:rsidRPr="00584929">
              <w:rPr>
                <w:rFonts w:ascii="Times New Roman" w:hAnsi="Times New Roman" w:cs="Times New Roman"/>
                <w:b/>
              </w:rPr>
              <w:t xml:space="preserve">wyjaśniona </w:t>
            </w:r>
          </w:p>
          <w:p w14:paraId="084A4E02" w14:textId="2A3F1DFC" w:rsidR="00224576" w:rsidRPr="00584929" w:rsidRDefault="00224576" w:rsidP="00224576">
            <w:pPr>
              <w:jc w:val="both"/>
              <w:rPr>
                <w:rFonts w:ascii="Times New Roman" w:hAnsi="Times New Roman" w:cs="Times New Roman"/>
              </w:rPr>
            </w:pPr>
            <w:r w:rsidRPr="00584929">
              <w:rPr>
                <w:rFonts w:ascii="Times New Roman" w:hAnsi="Times New Roman" w:cs="Times New Roman"/>
              </w:rPr>
              <w:t xml:space="preserve">Projekt ustawy wprowadza bardzo szeroką definicję ISP oraz szeroki katalog podmiotów zobowiązanych do udostępniania lub przekazywania ISP do ponownego wykorzystywania. </w:t>
            </w:r>
            <w:r w:rsidR="008741D9" w:rsidRPr="00584929">
              <w:rPr>
                <w:rFonts w:ascii="Times New Roman" w:hAnsi="Times New Roman" w:cs="Times New Roman"/>
              </w:rPr>
              <w:t xml:space="preserve">Przez ISP należy rozumieć każdą treść lub jej część, niezależnie od sposobu utrwalenia, w szczególności w postaci papierowej, elektronicznej, dźwiękowej, wizualnej lub audiowizualnej, będącą w posiadaniu podmiotów zobowiązanych. Należy jednocześnie wyjaśnić, że prawo do ponownego wykorzystywania nie ma charakteru bezwzględnego, doznaje ograniczeń na gruncie projektowanej ustawy </w:t>
            </w:r>
            <w:r w:rsidRPr="00584929">
              <w:rPr>
                <w:rFonts w:ascii="Times New Roman" w:hAnsi="Times New Roman" w:cs="Times New Roman"/>
              </w:rPr>
              <w:t>(ograniczenia prawa do ponownego wykorzystywania ISP – art. 6 projektu). Katalog ograniczeń prawa do ponownego wykorzystywania obejmuje m.in.:</w:t>
            </w:r>
          </w:p>
          <w:p w14:paraId="09C4FB24" w14:textId="461D2ED2" w:rsidR="00224576" w:rsidRPr="00584929" w:rsidRDefault="00224576" w:rsidP="00224576">
            <w:pPr>
              <w:pStyle w:val="Akapitzlist"/>
              <w:numPr>
                <w:ilvl w:val="0"/>
                <w:numId w:val="49"/>
              </w:numPr>
              <w:ind w:left="317" w:hanging="284"/>
              <w:jc w:val="both"/>
              <w:rPr>
                <w:sz w:val="22"/>
                <w:szCs w:val="22"/>
              </w:rPr>
            </w:pPr>
            <w:r w:rsidRPr="00584929">
              <w:rPr>
                <w:sz w:val="22"/>
                <w:szCs w:val="22"/>
              </w:rPr>
              <w:t>ograniczenie w zakresie i na zasadach określonych w przepisach o ochronie informacji niejawnych oraz o ochronie innych tajemnic ustawowo chronionych,</w:t>
            </w:r>
          </w:p>
          <w:p w14:paraId="259F5934" w14:textId="77777777" w:rsidR="00224576" w:rsidRPr="00584929" w:rsidRDefault="00224576" w:rsidP="00224576">
            <w:pPr>
              <w:pStyle w:val="Akapitzlist"/>
              <w:numPr>
                <w:ilvl w:val="0"/>
                <w:numId w:val="31"/>
              </w:numPr>
              <w:ind w:left="317" w:hanging="284"/>
              <w:jc w:val="both"/>
              <w:rPr>
                <w:sz w:val="22"/>
                <w:szCs w:val="22"/>
              </w:rPr>
            </w:pPr>
            <w:r w:rsidRPr="00584929">
              <w:rPr>
                <w:sz w:val="22"/>
                <w:szCs w:val="22"/>
              </w:rPr>
              <w:t xml:space="preserve">ograniczenie ze względu na tajemnicę przedsiębiorstwa lub prywatność osoby fizycznej, w tym ochronę danych osobowych </w:t>
            </w:r>
          </w:p>
          <w:p w14:paraId="6D2DD563" w14:textId="77777777" w:rsidR="00224576" w:rsidRPr="00584929" w:rsidRDefault="00224576" w:rsidP="00224576">
            <w:pPr>
              <w:pStyle w:val="Akapitzlist"/>
              <w:numPr>
                <w:ilvl w:val="0"/>
                <w:numId w:val="31"/>
              </w:numPr>
              <w:ind w:left="317" w:hanging="284"/>
              <w:jc w:val="both"/>
              <w:rPr>
                <w:sz w:val="22"/>
                <w:szCs w:val="22"/>
              </w:rPr>
            </w:pPr>
            <w:r w:rsidRPr="00584929">
              <w:rPr>
                <w:sz w:val="22"/>
                <w:szCs w:val="22"/>
              </w:rPr>
              <w:t>ograniczenie w zakresie informacji będących ISP, do których dostęp jest ograniczony na podstawie innych ustaw,</w:t>
            </w:r>
          </w:p>
          <w:p w14:paraId="12602B55" w14:textId="77777777" w:rsidR="00224576" w:rsidRPr="00584929" w:rsidRDefault="00224576" w:rsidP="00224576">
            <w:pPr>
              <w:pStyle w:val="Akapitzlist"/>
              <w:numPr>
                <w:ilvl w:val="0"/>
                <w:numId w:val="31"/>
              </w:numPr>
              <w:ind w:left="317" w:hanging="284"/>
              <w:jc w:val="both"/>
              <w:rPr>
                <w:sz w:val="22"/>
                <w:szCs w:val="22"/>
              </w:rPr>
            </w:pPr>
            <w:r w:rsidRPr="00584929">
              <w:rPr>
                <w:sz w:val="22"/>
                <w:szCs w:val="22"/>
              </w:rPr>
              <w:t>ograniczenie w zakresie ISP których wytwarzanie przez podmioty zobowiązane nie należy do zakresu ich zadań publicznych określonych prawem,</w:t>
            </w:r>
          </w:p>
          <w:p w14:paraId="0D2ABB20" w14:textId="1C53D18B" w:rsidR="008741D9" w:rsidRPr="00584929" w:rsidRDefault="00224576" w:rsidP="00224576">
            <w:pPr>
              <w:pStyle w:val="Akapitzlist"/>
              <w:numPr>
                <w:ilvl w:val="0"/>
                <w:numId w:val="31"/>
              </w:numPr>
              <w:ind w:left="317" w:hanging="284"/>
              <w:jc w:val="both"/>
              <w:rPr>
                <w:sz w:val="22"/>
                <w:szCs w:val="22"/>
              </w:rPr>
            </w:pPr>
            <w:r w:rsidRPr="00584929">
              <w:rPr>
                <w:sz w:val="22"/>
                <w:szCs w:val="22"/>
              </w:rPr>
              <w:lastRenderedPageBreak/>
              <w:t>ograniczenie ze względu na ochronę infrastruktury krytycznej w rozumieniu przepisów ustawy z dnia 26 kwietnia 2007 r. o zarządzaniu kryzysowym (Dz. U. z 2020 r. poz. 1856).</w:t>
            </w:r>
          </w:p>
        </w:tc>
      </w:tr>
      <w:tr w:rsidR="004873A1" w:rsidRPr="00584929" w14:paraId="17788408" w14:textId="77777777" w:rsidTr="00D94ED7">
        <w:tc>
          <w:tcPr>
            <w:tcW w:w="676" w:type="dxa"/>
            <w:shd w:val="clear" w:color="auto" w:fill="auto"/>
          </w:tcPr>
          <w:p w14:paraId="228560D3"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30DB810D" w14:textId="77777777" w:rsidR="004873A1" w:rsidRPr="00584929" w:rsidRDefault="004873A1" w:rsidP="004A29FC">
            <w:pPr>
              <w:rPr>
                <w:rFonts w:ascii="Times New Roman" w:hAnsi="Times New Roman" w:cs="Times New Roman"/>
              </w:rPr>
            </w:pPr>
            <w:r w:rsidRPr="00584929">
              <w:rPr>
                <w:rFonts w:ascii="Times New Roman" w:hAnsi="Times New Roman" w:cs="Times New Roman"/>
              </w:rPr>
              <w:t>Kancelaria Prezesa Rady Ministrów</w:t>
            </w:r>
          </w:p>
          <w:p w14:paraId="71E04382" w14:textId="67E25BAD" w:rsidR="004873A1" w:rsidRPr="00584929" w:rsidRDefault="004873A1" w:rsidP="004A29FC">
            <w:pPr>
              <w:rPr>
                <w:rFonts w:ascii="Times New Roman" w:hAnsi="Times New Roman" w:cs="Times New Roman"/>
              </w:rPr>
            </w:pPr>
          </w:p>
        </w:tc>
        <w:tc>
          <w:tcPr>
            <w:tcW w:w="1526" w:type="dxa"/>
            <w:shd w:val="clear" w:color="auto" w:fill="auto"/>
          </w:tcPr>
          <w:p w14:paraId="438ACFA8" w14:textId="01338755" w:rsidR="004873A1" w:rsidRPr="00584929" w:rsidRDefault="004873A1" w:rsidP="004A29FC">
            <w:pPr>
              <w:rPr>
                <w:rFonts w:ascii="Times New Roman" w:hAnsi="Times New Roman" w:cs="Times New Roman"/>
              </w:rPr>
            </w:pPr>
            <w:r w:rsidRPr="00584929">
              <w:rPr>
                <w:rFonts w:ascii="Times New Roman" w:hAnsi="Times New Roman" w:cs="Times New Roman"/>
              </w:rPr>
              <w:t>Art. 40 ust. 6</w:t>
            </w:r>
          </w:p>
        </w:tc>
        <w:tc>
          <w:tcPr>
            <w:tcW w:w="5323" w:type="dxa"/>
            <w:shd w:val="clear" w:color="auto" w:fill="auto"/>
          </w:tcPr>
          <w:p w14:paraId="3F4D3C91" w14:textId="4228FDAE" w:rsidR="004873A1" w:rsidRPr="00584929" w:rsidRDefault="004873A1" w:rsidP="00231C68">
            <w:pPr>
              <w:jc w:val="both"/>
              <w:rPr>
                <w:rFonts w:ascii="Times New Roman" w:hAnsi="Times New Roman" w:cs="Times New Roman"/>
              </w:rPr>
            </w:pPr>
            <w:r w:rsidRPr="00584929">
              <w:rPr>
                <w:rFonts w:ascii="Times New Roman" w:hAnsi="Times New Roman" w:cs="Times New Roman"/>
              </w:rPr>
              <w:t>Zgodnie z art. 40 ust. 6 projektu w przypadku odmowy wyrażenia zgody na ponowne wykorzystywanie informacji sektora publicznego, z powodów wskazanych w tym przepisie, podmiot zobowiązany ma obowiązek wskazać m. in. osobę fizyczną, która posiada prawa własności intelektualnej. W związku z tym obowiązkiem powstaje wątpliwość, czy w takim przypadku ma zastosowanie art. 7 ust. 3 projektu. Art. 7 ust. 3 projektu ma zastosowanie do p</w:t>
            </w:r>
            <w:r w:rsidR="00CE6B6C" w:rsidRPr="00584929">
              <w:rPr>
                <w:rFonts w:ascii="Times New Roman" w:hAnsi="Times New Roman" w:cs="Times New Roman"/>
              </w:rPr>
              <w:t>rzetwarzania danych osobowych w </w:t>
            </w:r>
            <w:r w:rsidRPr="00584929">
              <w:rPr>
                <w:rFonts w:ascii="Times New Roman" w:hAnsi="Times New Roman" w:cs="Times New Roman"/>
              </w:rPr>
              <w:t>celu udostępniania lub przekazywania informacji sektora publicznego do ponownego wykorzystywania. Nie jest jasne, czy odmowa wyrażenia zgody na ponowne wykorzystywanie może być uważana za udostępnianie informacji. Jeżeli art. 7 ust. 3 projektu nie ma w takim przypadku zastosowania,</w:t>
            </w:r>
            <w:r w:rsidR="00CE6B6C" w:rsidRPr="00584929">
              <w:rPr>
                <w:rFonts w:ascii="Times New Roman" w:hAnsi="Times New Roman" w:cs="Times New Roman"/>
              </w:rPr>
              <w:t xml:space="preserve"> należałoby uznać, że zgodnie z </w:t>
            </w:r>
            <w:r w:rsidRPr="00584929">
              <w:rPr>
                <w:rFonts w:ascii="Times New Roman" w:hAnsi="Times New Roman" w:cs="Times New Roman"/>
              </w:rPr>
              <w:t>art. 7 ust. 2 projektu zastosowanie znajdują odpowiednie przepisy rozporządzenia 2016/679 (RODO), co oznaczałoby obowiązek zawiadomienia posiadacza prawa własności intelektualnej, zgodnie z art. 13 ust. 3 RODO.</w:t>
            </w:r>
          </w:p>
        </w:tc>
        <w:tc>
          <w:tcPr>
            <w:tcW w:w="4785" w:type="dxa"/>
            <w:shd w:val="clear" w:color="auto" w:fill="auto"/>
          </w:tcPr>
          <w:p w14:paraId="284FAB51" w14:textId="6E93D9FB" w:rsidR="004873A1" w:rsidRPr="00584929" w:rsidRDefault="00CE6B6C" w:rsidP="004A29FC">
            <w:pPr>
              <w:rPr>
                <w:rFonts w:ascii="Times New Roman" w:hAnsi="Times New Roman" w:cs="Times New Roman"/>
                <w:b/>
              </w:rPr>
            </w:pPr>
            <w:r w:rsidRPr="00584929">
              <w:rPr>
                <w:rFonts w:ascii="Times New Roman" w:hAnsi="Times New Roman" w:cs="Times New Roman"/>
                <w:b/>
              </w:rPr>
              <w:t xml:space="preserve">Wyjaśnienie </w:t>
            </w:r>
          </w:p>
          <w:p w14:paraId="11196D08" w14:textId="4666C24E" w:rsidR="004873A1" w:rsidRPr="00101CFE" w:rsidRDefault="00101CFE" w:rsidP="00101CFE">
            <w:pPr>
              <w:jc w:val="both"/>
            </w:pPr>
            <w:r w:rsidRPr="00584929">
              <w:rPr>
                <w:rFonts w:ascii="Times New Roman" w:hAnsi="Times New Roman" w:cs="Times New Roman"/>
              </w:rPr>
              <w:t xml:space="preserve">Zgodnie z art. 40 ust. 6 projektu </w:t>
            </w:r>
            <w:r>
              <w:rPr>
                <w:rFonts w:ascii="Times New Roman" w:hAnsi="Times New Roman" w:cs="Times New Roman"/>
              </w:rPr>
              <w:t xml:space="preserve">(nowy art. 44 ust. 5) </w:t>
            </w:r>
            <w:r w:rsidRPr="0087555C">
              <w:rPr>
                <w:rFonts w:ascii="Times New Roman" w:hAnsi="Times New Roman" w:cs="Times New Roman"/>
              </w:rPr>
              <w:t>w przypadku gdy podstawą odmowy są prawa autorskie lub prawa pokrewne, prawa do baz danych lub prawa do odmian roślin przysługujące osobom trzecim, podmiot zobowiązany wskazuje osobę fizyczną, osobę prawną lub jednostkę organizacyjną nieposiadającą osobowości prawnej, która posiada prawa własności intelektualnej, jeżeli jest znana, albo licencjodawcę, od którego podmiot zobowiązany uzyskał dany przedmiot praw własności intelektualnej. Podmiot zobowiązany będzie również obowiązany do wskazania takiej informacji w przypadku odmowy przekazania informacji sektora publicznego ze względu na objęcie tych informacji prawami własności przemysłowej lub prawami własności przemysłowej podlegających ochronie na podstawie umów międzynarodowych lub przepisów prawa Unii Europejskie. Zgodnie z brzmieniem art. 4 ust. 3 dyrektywy 2019/1024/UE z tego obowiązku będą zwolnione muzea państwowe i muzea samorządowe, biblioteki publiczne i naukowe oraz archiwa.</w:t>
            </w:r>
          </w:p>
        </w:tc>
      </w:tr>
      <w:tr w:rsidR="0092159A" w:rsidRPr="00584929" w14:paraId="4003D378" w14:textId="77777777" w:rsidTr="00D94ED7">
        <w:tc>
          <w:tcPr>
            <w:tcW w:w="676" w:type="dxa"/>
            <w:shd w:val="clear" w:color="auto" w:fill="auto"/>
          </w:tcPr>
          <w:p w14:paraId="1A15DDBD" w14:textId="77777777" w:rsidR="0092159A" w:rsidRPr="00584929" w:rsidRDefault="0092159A" w:rsidP="004A29FC">
            <w:pPr>
              <w:pStyle w:val="Akapitzlist"/>
              <w:numPr>
                <w:ilvl w:val="0"/>
                <w:numId w:val="20"/>
              </w:numPr>
              <w:rPr>
                <w:sz w:val="22"/>
                <w:szCs w:val="22"/>
              </w:rPr>
            </w:pPr>
          </w:p>
        </w:tc>
        <w:tc>
          <w:tcPr>
            <w:tcW w:w="1968" w:type="dxa"/>
            <w:shd w:val="clear" w:color="auto" w:fill="auto"/>
          </w:tcPr>
          <w:p w14:paraId="53E85ECC" w14:textId="19731861" w:rsidR="0092159A" w:rsidRPr="00584929" w:rsidRDefault="004873A1"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1489885C" w14:textId="07B33C5D" w:rsidR="0092159A" w:rsidRPr="00584929" w:rsidRDefault="004873A1" w:rsidP="004A29FC">
            <w:pPr>
              <w:rPr>
                <w:rFonts w:ascii="Times New Roman" w:hAnsi="Times New Roman" w:cs="Times New Roman"/>
              </w:rPr>
            </w:pPr>
            <w:r w:rsidRPr="00584929">
              <w:rPr>
                <w:rFonts w:ascii="Times New Roman" w:hAnsi="Times New Roman" w:cs="Times New Roman"/>
              </w:rPr>
              <w:t>Art. 40 i 41</w:t>
            </w:r>
          </w:p>
        </w:tc>
        <w:tc>
          <w:tcPr>
            <w:tcW w:w="5323" w:type="dxa"/>
            <w:shd w:val="clear" w:color="auto" w:fill="auto"/>
          </w:tcPr>
          <w:p w14:paraId="7B40F980" w14:textId="3E47F721" w:rsidR="004873A1" w:rsidRPr="00584929" w:rsidRDefault="004873A1" w:rsidP="00231C68">
            <w:pPr>
              <w:jc w:val="both"/>
              <w:rPr>
                <w:rFonts w:ascii="Times New Roman" w:hAnsi="Times New Roman" w:cs="Times New Roman"/>
              </w:rPr>
            </w:pPr>
            <w:r w:rsidRPr="00584929">
              <w:rPr>
                <w:rFonts w:ascii="Times New Roman" w:hAnsi="Times New Roman" w:cs="Times New Roman"/>
              </w:rPr>
              <w:t>Uzupełnienia wymaga sposób rozstrzygnięcia organu, które następuje w sytuacji, w której organ nie posiada informacji sektora publicznego, o które wnosi wnioskodawca, ani nie jest w posiadaniu informacji pozwalających na p</w:t>
            </w:r>
            <w:r w:rsidR="00231C68" w:rsidRPr="00584929">
              <w:rPr>
                <w:rFonts w:ascii="Times New Roman" w:hAnsi="Times New Roman" w:cs="Times New Roman"/>
              </w:rPr>
              <w:t xml:space="preserve">rzekazanie tej sprawy zgodnie </w:t>
            </w:r>
            <w:r w:rsidR="00231C68" w:rsidRPr="00584929">
              <w:rPr>
                <w:rFonts w:ascii="Times New Roman" w:hAnsi="Times New Roman" w:cs="Times New Roman"/>
              </w:rPr>
              <w:lastRenderedPageBreak/>
              <w:t>z </w:t>
            </w:r>
            <w:r w:rsidRPr="00584929">
              <w:rPr>
                <w:rFonts w:ascii="Times New Roman" w:hAnsi="Times New Roman" w:cs="Times New Roman"/>
              </w:rPr>
              <w:t>właściwością do innego organu na podstawie przepisów k.p.a.</w:t>
            </w:r>
          </w:p>
        </w:tc>
        <w:tc>
          <w:tcPr>
            <w:tcW w:w="4785" w:type="dxa"/>
            <w:shd w:val="clear" w:color="auto" w:fill="auto"/>
          </w:tcPr>
          <w:p w14:paraId="2DFA9DF1" w14:textId="637C10E3" w:rsidR="0092159A" w:rsidRPr="00584929" w:rsidRDefault="00D60E97" w:rsidP="004A29FC">
            <w:pPr>
              <w:rPr>
                <w:rFonts w:ascii="Times New Roman" w:hAnsi="Times New Roman" w:cs="Times New Roman"/>
                <w:b/>
              </w:rPr>
            </w:pPr>
            <w:r w:rsidRPr="00584929">
              <w:rPr>
                <w:rFonts w:ascii="Times New Roman" w:hAnsi="Times New Roman" w:cs="Times New Roman"/>
                <w:b/>
              </w:rPr>
              <w:lastRenderedPageBreak/>
              <w:t xml:space="preserve">Uwaga wyjaśniona </w:t>
            </w:r>
          </w:p>
          <w:p w14:paraId="519E4BDA" w14:textId="3ECDA184" w:rsidR="00D60E97" w:rsidRPr="00584929" w:rsidRDefault="00D60E97" w:rsidP="00D60E97">
            <w:pPr>
              <w:jc w:val="both"/>
              <w:rPr>
                <w:rFonts w:ascii="Times New Roman" w:hAnsi="Times New Roman" w:cs="Times New Roman"/>
              </w:rPr>
            </w:pPr>
            <w:r w:rsidRPr="00584929">
              <w:rPr>
                <w:rFonts w:ascii="Times New Roman" w:hAnsi="Times New Roman" w:cs="Times New Roman"/>
              </w:rPr>
              <w:t>Przepisy zostaną poddane dodatkowej analizie w ramach rozpatrzenia projektu ustawy przez Komisję prawniczą.</w:t>
            </w:r>
          </w:p>
          <w:p w14:paraId="71BA2502" w14:textId="77777777" w:rsidR="001A3CE1" w:rsidRPr="00584929" w:rsidRDefault="001A3CE1" w:rsidP="00D60E97">
            <w:pPr>
              <w:jc w:val="both"/>
              <w:rPr>
                <w:rFonts w:ascii="Times New Roman" w:hAnsi="Times New Roman" w:cs="Times New Roman"/>
              </w:rPr>
            </w:pPr>
          </w:p>
          <w:p w14:paraId="355259FD" w14:textId="77777777" w:rsidR="00D60E97" w:rsidRPr="00584929" w:rsidRDefault="00D60E97" w:rsidP="00D60E97">
            <w:pPr>
              <w:jc w:val="both"/>
              <w:rPr>
                <w:rFonts w:ascii="Times New Roman" w:hAnsi="Times New Roman" w:cs="Times New Roman"/>
              </w:rPr>
            </w:pPr>
            <w:r w:rsidRPr="00584929">
              <w:rPr>
                <w:rFonts w:ascii="Times New Roman" w:hAnsi="Times New Roman" w:cs="Times New Roman"/>
              </w:rPr>
              <w:lastRenderedPageBreak/>
              <w:t xml:space="preserve">Dodatkowe wyjaśnienie: </w:t>
            </w:r>
          </w:p>
          <w:p w14:paraId="0758F29E" w14:textId="1F189D9D" w:rsidR="001A3CE1" w:rsidRPr="00584929" w:rsidRDefault="001A3CE1" w:rsidP="001A3CE1">
            <w:pPr>
              <w:spacing w:after="160" w:line="259" w:lineRule="auto"/>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Przepis funkcjonuje w ustawie z 2016 r., nie jest kwestionowany oraz jest już ugruntowany w orzecznictwie.</w:t>
            </w:r>
          </w:p>
          <w:p w14:paraId="7A605A62" w14:textId="13AE4CE8" w:rsidR="001A3CE1" w:rsidRPr="00584929" w:rsidRDefault="001A3CE1" w:rsidP="001A3CE1">
            <w:pPr>
              <w:spacing w:after="160" w:line="259" w:lineRule="auto"/>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Rozpatrzenie wniosku o ponowne wykorzystywanie może zakończyć się rozstrzygnięciem merytorycznym lub czynnością materialno-techniczną. Katalog możliwych sposobów rozpatrzenie wniosku w sposób merytorycznych jest zamknięty. Podmiot zobowiązany:</w:t>
            </w:r>
          </w:p>
          <w:p w14:paraId="5D784A46" w14:textId="77777777" w:rsidR="001A3CE1" w:rsidRPr="00584929" w:rsidRDefault="001A3CE1" w:rsidP="00A07FD4">
            <w:pPr>
              <w:numPr>
                <w:ilvl w:val="0"/>
                <w:numId w:val="43"/>
              </w:numPr>
              <w:spacing w:after="160" w:line="259" w:lineRule="auto"/>
              <w:ind w:left="601"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przekazuje ISP bez określania warunków ponownego wykorzystywania,</w:t>
            </w:r>
          </w:p>
          <w:p w14:paraId="6AC65630" w14:textId="77777777" w:rsidR="001A3CE1" w:rsidRPr="00584929" w:rsidRDefault="001A3CE1" w:rsidP="00A07FD4">
            <w:pPr>
              <w:numPr>
                <w:ilvl w:val="0"/>
                <w:numId w:val="43"/>
              </w:numPr>
              <w:spacing w:after="160" w:line="259" w:lineRule="auto"/>
              <w:ind w:left="601"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 xml:space="preserve">informuje o braku warunków ponownego wykorzystywania w przypadku posiadania ISP przez wnioskodawcę, </w:t>
            </w:r>
          </w:p>
          <w:p w14:paraId="55E56BD1" w14:textId="77777777" w:rsidR="001A3CE1" w:rsidRPr="00584929" w:rsidRDefault="001A3CE1" w:rsidP="00A07FD4">
            <w:pPr>
              <w:numPr>
                <w:ilvl w:val="0"/>
                <w:numId w:val="43"/>
              </w:numPr>
              <w:spacing w:after="160" w:line="259" w:lineRule="auto"/>
              <w:ind w:left="601"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 xml:space="preserve">składa ofertę zawierającą warunki ponownego wykorzystywania lub informację o wysokości opłat za ponowne wykorzystywanie, </w:t>
            </w:r>
          </w:p>
          <w:p w14:paraId="5D661ED8" w14:textId="77777777" w:rsidR="001A3CE1" w:rsidRPr="00584929" w:rsidRDefault="001A3CE1" w:rsidP="00A07FD4">
            <w:pPr>
              <w:numPr>
                <w:ilvl w:val="0"/>
                <w:numId w:val="43"/>
              </w:numPr>
              <w:spacing w:after="160" w:line="259" w:lineRule="auto"/>
              <w:ind w:left="601"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odmawia, w drodze decyzji, wyrażenia zgody na ponowne wykorzystywanie ISP.</w:t>
            </w:r>
          </w:p>
          <w:p w14:paraId="31BA3038" w14:textId="0D2AB8B0" w:rsidR="001A3CE1" w:rsidRPr="00584929" w:rsidRDefault="001A3CE1" w:rsidP="001A3CE1">
            <w:pPr>
              <w:spacing w:after="160" w:line="259" w:lineRule="auto"/>
              <w:ind w:left="318"/>
              <w:jc w:val="both"/>
              <w:rPr>
                <w:rFonts w:ascii="Times New Roman" w:hAnsi="Times New Roman" w:cs="Times New Roman"/>
              </w:rPr>
            </w:pPr>
            <w:r w:rsidRPr="00584929">
              <w:rPr>
                <w:rFonts w:ascii="Times New Roman" w:hAnsi="Times New Roman" w:cs="Times New Roman"/>
              </w:rPr>
              <w:t>(por. wyrok NSA z dnia 7 marca 2019 r., sygn. akt I OSK 754/17 -  art. 23. ust. 1 ustawy z 2016 r.),</w:t>
            </w:r>
          </w:p>
          <w:p w14:paraId="2A44F3F4" w14:textId="07B538F8" w:rsidR="001A3CE1" w:rsidRPr="00584929" w:rsidRDefault="001A3CE1" w:rsidP="001A3CE1">
            <w:pPr>
              <w:jc w:val="both"/>
              <w:rPr>
                <w:rFonts w:ascii="Times New Roman" w:hAnsi="Times New Roman" w:cs="Times New Roman"/>
              </w:rPr>
            </w:pPr>
            <w:r w:rsidRPr="00584929">
              <w:rPr>
                <w:rFonts w:ascii="Times New Roman" w:hAnsi="Times New Roman" w:cs="Times New Roman"/>
              </w:rPr>
              <w:t xml:space="preserve">W ramach czynności materialno-technicznych podmiot zobowiązany informuje natomiast wnioskodawcę o okolicznościach, które uniemożliwiają rozpatrzenie wniosku w sposób merytoryczny. Uwzględniając powyższe podmiot zobowiązany przestępując do rozpatrzenia wniosku w pierwszej kolejności musi wyjaśnić, czy rozpatrzenie wniosku w sposób merytoryczny jest w ogóle możliwe. Dotyczy to m.in. konieczności </w:t>
            </w:r>
            <w:r w:rsidRPr="00584929">
              <w:rPr>
                <w:rFonts w:ascii="Times New Roman" w:hAnsi="Times New Roman" w:cs="Times New Roman"/>
              </w:rPr>
              <w:lastRenderedPageBreak/>
              <w:t xml:space="preserve">zbadania przez podmiot zobowiązany, czy jest w posiadaniu ISP, o którą wnosi wnioskodawca. W przypadku kiedy żądana ISP nie będzie znajdowała się w posiadaniu podmiotu zobowiązanego, wnioskodawca </w:t>
            </w:r>
            <w:r w:rsidR="00347D76" w:rsidRPr="00584929">
              <w:rPr>
                <w:rFonts w:ascii="Times New Roman" w:hAnsi="Times New Roman" w:cs="Times New Roman"/>
              </w:rPr>
              <w:t xml:space="preserve">jest o tym </w:t>
            </w:r>
            <w:r w:rsidRPr="00584929">
              <w:rPr>
                <w:rFonts w:ascii="Times New Roman" w:hAnsi="Times New Roman" w:cs="Times New Roman"/>
              </w:rPr>
              <w:t xml:space="preserve">informowany w drodze zwykłego pisma. </w:t>
            </w:r>
          </w:p>
          <w:p w14:paraId="324F96BB" w14:textId="77777777" w:rsidR="001A3CE1" w:rsidRPr="00584929" w:rsidRDefault="001A3CE1" w:rsidP="00D60E97">
            <w:pPr>
              <w:jc w:val="both"/>
              <w:rPr>
                <w:rFonts w:ascii="Times New Roman" w:hAnsi="Times New Roman" w:cs="Times New Roman"/>
              </w:rPr>
            </w:pPr>
          </w:p>
          <w:p w14:paraId="32565B87" w14:textId="196124CE" w:rsidR="001A3CE1" w:rsidRPr="00584929" w:rsidRDefault="001A3CE1" w:rsidP="00D60E97">
            <w:pPr>
              <w:jc w:val="both"/>
              <w:rPr>
                <w:rFonts w:ascii="Times New Roman" w:hAnsi="Times New Roman" w:cs="Times New Roman"/>
              </w:rPr>
            </w:pPr>
            <w:r w:rsidRPr="00584929">
              <w:rPr>
                <w:rFonts w:ascii="Times New Roman" w:hAnsi="Times New Roman" w:cs="Times New Roman"/>
              </w:rPr>
              <w:t xml:space="preserve">Dodatkowe wyjaśnienie: </w:t>
            </w:r>
          </w:p>
          <w:p w14:paraId="06B099AA" w14:textId="48240A30" w:rsidR="00D60E97" w:rsidRPr="00584929" w:rsidRDefault="00D60E97" w:rsidP="00D60E97">
            <w:pPr>
              <w:jc w:val="both"/>
              <w:rPr>
                <w:rFonts w:ascii="Times New Roman" w:hAnsi="Times New Roman" w:cs="Times New Roman"/>
              </w:rPr>
            </w:pPr>
            <w:r w:rsidRPr="00584929">
              <w:rPr>
                <w:rFonts w:ascii="Times New Roman" w:hAnsi="Times New Roman" w:cs="Times New Roman"/>
              </w:rPr>
              <w:t xml:space="preserve">W przepisach projektowanej ustawy zostanie wprowadzony dodatkowy sposób rozstrzygnięcia  w toku rozpatrywania wniosku o ponowne wykorzystywanie, tj. poinformowanie o braku ISP wskazanej we wniosku. </w:t>
            </w:r>
          </w:p>
        </w:tc>
      </w:tr>
      <w:tr w:rsidR="0092159A" w:rsidRPr="00584929" w14:paraId="24FEE293" w14:textId="77777777" w:rsidTr="00D94ED7">
        <w:tc>
          <w:tcPr>
            <w:tcW w:w="676" w:type="dxa"/>
            <w:shd w:val="clear" w:color="auto" w:fill="auto"/>
          </w:tcPr>
          <w:p w14:paraId="4B1EB3D5" w14:textId="4281BD83" w:rsidR="0092159A" w:rsidRPr="00584929" w:rsidRDefault="0092159A" w:rsidP="004A29FC">
            <w:pPr>
              <w:pStyle w:val="Akapitzlist"/>
              <w:numPr>
                <w:ilvl w:val="0"/>
                <w:numId w:val="20"/>
              </w:numPr>
              <w:rPr>
                <w:sz w:val="22"/>
                <w:szCs w:val="22"/>
              </w:rPr>
            </w:pPr>
          </w:p>
        </w:tc>
        <w:tc>
          <w:tcPr>
            <w:tcW w:w="1968" w:type="dxa"/>
            <w:shd w:val="clear" w:color="auto" w:fill="auto"/>
          </w:tcPr>
          <w:p w14:paraId="73E5D402" w14:textId="0EB3FA31" w:rsidR="0092159A" w:rsidRPr="00584929" w:rsidRDefault="004873A1"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53034491" w14:textId="66902353" w:rsidR="0092159A" w:rsidRPr="00584929" w:rsidRDefault="004873A1" w:rsidP="004A29FC">
            <w:pPr>
              <w:rPr>
                <w:rFonts w:ascii="Times New Roman" w:hAnsi="Times New Roman" w:cs="Times New Roman"/>
              </w:rPr>
            </w:pPr>
            <w:r w:rsidRPr="00584929">
              <w:rPr>
                <w:rFonts w:ascii="Times New Roman" w:hAnsi="Times New Roman" w:cs="Times New Roman"/>
              </w:rPr>
              <w:t>Art. 40 i 41</w:t>
            </w:r>
          </w:p>
        </w:tc>
        <w:tc>
          <w:tcPr>
            <w:tcW w:w="5323" w:type="dxa"/>
            <w:shd w:val="clear" w:color="auto" w:fill="auto"/>
          </w:tcPr>
          <w:p w14:paraId="3F6A419F" w14:textId="572F893C" w:rsidR="004873A1" w:rsidRPr="00584929" w:rsidRDefault="004873A1" w:rsidP="00231C68">
            <w:pPr>
              <w:jc w:val="both"/>
              <w:rPr>
                <w:rFonts w:ascii="Times New Roman" w:hAnsi="Times New Roman" w:cs="Times New Roman"/>
              </w:rPr>
            </w:pPr>
            <w:r w:rsidRPr="00584929">
              <w:rPr>
                <w:rFonts w:ascii="Times New Roman" w:hAnsi="Times New Roman" w:cs="Times New Roman"/>
              </w:rPr>
              <w:t>W uzasadnieniu do art. 40 i 41 projektodawca wskazuje, że oferta, o której mowa w tych przepisach stanowi ofertę w rozumieniu 66 k.c. i zastosowanie znajdą przepisy dotyczące zawierania umów przez ofertę i jej przyjęcie (art. 66 i nast. k.c.), mimo braku takiej regulacji w treści przepisów.  Wydaje się zatem zasadne uzupełnienie treści normatywnej aktu o odesłanie do stosownych regulacji Kodeksu</w:t>
            </w:r>
            <w:r w:rsidR="00231C68" w:rsidRPr="00584929">
              <w:rPr>
                <w:rFonts w:ascii="Times New Roman" w:hAnsi="Times New Roman" w:cs="Times New Roman"/>
              </w:rPr>
              <w:t xml:space="preserve"> cywilnego dotyczących oferty i </w:t>
            </w:r>
            <w:r w:rsidRPr="00584929">
              <w:rPr>
                <w:rFonts w:ascii="Times New Roman" w:hAnsi="Times New Roman" w:cs="Times New Roman"/>
              </w:rPr>
              <w:t>zawierania umowy w zakresie nieuregulowanym w projekcie ustawy.</w:t>
            </w:r>
          </w:p>
        </w:tc>
        <w:tc>
          <w:tcPr>
            <w:tcW w:w="4785" w:type="dxa"/>
            <w:shd w:val="clear" w:color="auto" w:fill="auto"/>
          </w:tcPr>
          <w:p w14:paraId="22ECC7BE" w14:textId="77777777" w:rsidR="0092159A" w:rsidRPr="00584929" w:rsidRDefault="004873A1" w:rsidP="00646CF3">
            <w:pPr>
              <w:rPr>
                <w:rFonts w:ascii="Times New Roman" w:hAnsi="Times New Roman" w:cs="Times New Roman"/>
                <w:b/>
              </w:rPr>
            </w:pPr>
            <w:r w:rsidRPr="00584929">
              <w:rPr>
                <w:rFonts w:ascii="Times New Roman" w:hAnsi="Times New Roman" w:cs="Times New Roman"/>
                <w:b/>
              </w:rPr>
              <w:t>Uwaga</w:t>
            </w:r>
            <w:r w:rsidR="00646CF3" w:rsidRPr="00584929">
              <w:rPr>
                <w:rFonts w:ascii="Times New Roman" w:hAnsi="Times New Roman" w:cs="Times New Roman"/>
                <w:b/>
              </w:rPr>
              <w:t xml:space="preserve"> wyjaśniona </w:t>
            </w:r>
          </w:p>
          <w:p w14:paraId="70B794F1" w14:textId="77777777" w:rsidR="00646CF3" w:rsidRPr="00584929" w:rsidRDefault="00646CF3" w:rsidP="00646CF3">
            <w:pPr>
              <w:jc w:val="both"/>
              <w:rPr>
                <w:rFonts w:ascii="Times New Roman" w:hAnsi="Times New Roman" w:cs="Times New Roman"/>
              </w:rPr>
            </w:pPr>
            <w:r w:rsidRPr="00584929">
              <w:rPr>
                <w:rFonts w:ascii="Times New Roman" w:hAnsi="Times New Roman" w:cs="Times New Roman"/>
              </w:rPr>
              <w:t>Przepisy zostaną poddane dodatkowej analizie w ramach rozpatrzenia projektu ustawy przez Komisję prawniczą.</w:t>
            </w:r>
          </w:p>
          <w:p w14:paraId="3BB36F7B" w14:textId="77777777" w:rsidR="00646CF3" w:rsidRPr="00584929" w:rsidRDefault="00646CF3" w:rsidP="00646CF3">
            <w:pPr>
              <w:rPr>
                <w:rFonts w:ascii="Times New Roman" w:hAnsi="Times New Roman" w:cs="Times New Roman"/>
                <w:b/>
              </w:rPr>
            </w:pPr>
          </w:p>
          <w:p w14:paraId="6A644D85" w14:textId="6BC3A149" w:rsidR="00646CF3" w:rsidRPr="00584929" w:rsidRDefault="00646CF3" w:rsidP="00646CF3">
            <w:pPr>
              <w:jc w:val="both"/>
              <w:rPr>
                <w:rFonts w:ascii="Times New Roman" w:hAnsi="Times New Roman" w:cs="Times New Roman"/>
              </w:rPr>
            </w:pPr>
            <w:r w:rsidRPr="00584929">
              <w:rPr>
                <w:rFonts w:ascii="Times New Roman" w:hAnsi="Times New Roman" w:cs="Times New Roman"/>
              </w:rPr>
              <w:t>Dodatkowe wyjaśnienie: przepisy funkcjonują w ustawie z 2016 r. i nie był kwestionowane.</w:t>
            </w:r>
          </w:p>
        </w:tc>
      </w:tr>
      <w:tr w:rsidR="0092159A" w:rsidRPr="00584929" w14:paraId="7282BB7A" w14:textId="77777777" w:rsidTr="00D94ED7">
        <w:tc>
          <w:tcPr>
            <w:tcW w:w="676" w:type="dxa"/>
            <w:shd w:val="clear" w:color="auto" w:fill="auto"/>
          </w:tcPr>
          <w:p w14:paraId="4A1FFDD2" w14:textId="41E762AA" w:rsidR="0092159A" w:rsidRPr="00584929" w:rsidRDefault="0092159A" w:rsidP="004A29FC">
            <w:pPr>
              <w:pStyle w:val="Akapitzlist"/>
              <w:numPr>
                <w:ilvl w:val="0"/>
                <w:numId w:val="20"/>
              </w:numPr>
              <w:rPr>
                <w:sz w:val="22"/>
                <w:szCs w:val="22"/>
              </w:rPr>
            </w:pPr>
          </w:p>
        </w:tc>
        <w:tc>
          <w:tcPr>
            <w:tcW w:w="1968" w:type="dxa"/>
            <w:shd w:val="clear" w:color="auto" w:fill="auto"/>
          </w:tcPr>
          <w:p w14:paraId="6C74C502" w14:textId="77777777" w:rsidR="0092159A" w:rsidRPr="00584929" w:rsidRDefault="004873A1" w:rsidP="004A29FC">
            <w:pPr>
              <w:rPr>
                <w:rFonts w:ascii="Times New Roman" w:hAnsi="Times New Roman" w:cs="Times New Roman"/>
              </w:rPr>
            </w:pPr>
            <w:r w:rsidRPr="00584929">
              <w:rPr>
                <w:rFonts w:ascii="Times New Roman" w:hAnsi="Times New Roman" w:cs="Times New Roman"/>
              </w:rPr>
              <w:t>Rządowe Centrum Legislacji</w:t>
            </w:r>
          </w:p>
          <w:p w14:paraId="485941CC" w14:textId="0FFCB33C" w:rsidR="004873A1" w:rsidRPr="00584929" w:rsidRDefault="004873A1" w:rsidP="004A29FC">
            <w:pPr>
              <w:rPr>
                <w:rFonts w:ascii="Times New Roman" w:hAnsi="Times New Roman" w:cs="Times New Roman"/>
              </w:rPr>
            </w:pPr>
          </w:p>
        </w:tc>
        <w:tc>
          <w:tcPr>
            <w:tcW w:w="1526" w:type="dxa"/>
            <w:shd w:val="clear" w:color="auto" w:fill="auto"/>
          </w:tcPr>
          <w:p w14:paraId="233E0727" w14:textId="7C9E7F0A" w:rsidR="0092159A" w:rsidRPr="00584929" w:rsidRDefault="004873A1" w:rsidP="004A29FC">
            <w:pPr>
              <w:rPr>
                <w:rFonts w:ascii="Times New Roman" w:hAnsi="Times New Roman" w:cs="Times New Roman"/>
              </w:rPr>
            </w:pPr>
            <w:r w:rsidRPr="00584929">
              <w:rPr>
                <w:rFonts w:ascii="Times New Roman" w:hAnsi="Times New Roman" w:cs="Times New Roman"/>
              </w:rPr>
              <w:t>Art. 40 i 41</w:t>
            </w:r>
          </w:p>
        </w:tc>
        <w:tc>
          <w:tcPr>
            <w:tcW w:w="5323" w:type="dxa"/>
            <w:shd w:val="clear" w:color="auto" w:fill="auto"/>
          </w:tcPr>
          <w:p w14:paraId="1DA5270E" w14:textId="3846DF1C" w:rsidR="004873A1" w:rsidRPr="00584929" w:rsidRDefault="004873A1" w:rsidP="00231C68">
            <w:pPr>
              <w:jc w:val="both"/>
              <w:rPr>
                <w:rFonts w:ascii="Times New Roman" w:hAnsi="Times New Roman" w:cs="Times New Roman"/>
              </w:rPr>
            </w:pPr>
            <w:r w:rsidRPr="00584929">
              <w:rPr>
                <w:rFonts w:ascii="Times New Roman" w:hAnsi="Times New Roman" w:cs="Times New Roman"/>
              </w:rPr>
              <w:t>Na mocy projektowanych przepisów, jeżeli  wnioskodawca przyjmuje ofertę (art. 40 ust. 2  projektu ustawy) to zgodnie z t</w:t>
            </w:r>
            <w:r w:rsidR="00646CF3" w:rsidRPr="00584929">
              <w:rPr>
                <w:rFonts w:ascii="Times New Roman" w:hAnsi="Times New Roman" w:cs="Times New Roman"/>
              </w:rPr>
              <w:t>reścią uzasadnienia - zawiera z </w:t>
            </w:r>
            <w:r w:rsidRPr="00584929">
              <w:rPr>
                <w:rFonts w:ascii="Times New Roman" w:hAnsi="Times New Roman" w:cs="Times New Roman"/>
              </w:rPr>
              <w:t xml:space="preserve">podmiotem zobowiązanym umowę, a jeżeli wnosi sprzeciw wówczas to podmiot zobowiązany wydaje decyzję administracyjną co do tego samego przedmiotu – tj. warunków ponownego wykorzystania i opłaty (zgodnie z 40 ust. 3 projektu ustawy). W istocie zatem w obu przypadkach dochodzi do władczego ustalenia warunków ponownego wykorzystywania przez podmiot zobowiązany warunków ponownego wykorzystywania danych, bądź w wyniku przedstawienia oferty, której podmiot korzystający z informacji może się jedynie </w:t>
            </w:r>
            <w:r w:rsidRPr="00584929">
              <w:rPr>
                <w:rFonts w:ascii="Times New Roman" w:hAnsi="Times New Roman" w:cs="Times New Roman"/>
              </w:rPr>
              <w:lastRenderedPageBreak/>
              <w:t>przyjąć bowiem sprzeciwiając się ofer</w:t>
            </w:r>
            <w:r w:rsidR="00231C68" w:rsidRPr="00584929">
              <w:rPr>
                <w:rFonts w:ascii="Times New Roman" w:hAnsi="Times New Roman" w:cs="Times New Roman"/>
              </w:rPr>
              <w:t>cie, warunki zostaną ustalone w </w:t>
            </w:r>
            <w:r w:rsidRPr="00584929">
              <w:rPr>
                <w:rFonts w:ascii="Times New Roman" w:hAnsi="Times New Roman" w:cs="Times New Roman"/>
              </w:rPr>
              <w:t>drodze władczego rozstrzygnięcia - na mocy decyzji administracyjnej. Należy jednakże zauważyć, że przyjęcie takiej regulacji może skutkować powstaniem dwóch różnych reżimów odpowiedzialności, rozstrzygania sporów i egzekucji w stosunku do kwestii warunków ponownego wykorzystywania oraz opłaty  za ponowne wykorzystywanie informacji sektora publicznego. W przypadku umowy będzie to cywilnoprawny charakter i związana z nim odpowiedzialność kontraktowa dochodzoną w sądach powszechnych, zaś w przypadku wydania decyzji – administracyjny i sądowoadministracyjny. Co więcej, o ile projektodawca w uzasadnieniu wskazuje jakie są konsekwencje przyjęcia oferty (czego jednak nie reguluje w warstwie normatywnej projektu), o tyle nie odnosi się do dalszego trybu postępowania w przypadku decyzji administracyjnej wydanej na skutek sprzeciwu, co do której wnioskodawca ni</w:t>
            </w:r>
            <w:r w:rsidR="00646CF3" w:rsidRPr="00584929">
              <w:rPr>
                <w:rFonts w:ascii="Times New Roman" w:hAnsi="Times New Roman" w:cs="Times New Roman"/>
              </w:rPr>
              <w:t>e wniesie dalszego odwołania. W </w:t>
            </w:r>
            <w:r w:rsidRPr="00584929">
              <w:rPr>
                <w:rFonts w:ascii="Times New Roman" w:hAnsi="Times New Roman" w:cs="Times New Roman"/>
              </w:rPr>
              <w:t>tym kontekście należy wskazać, że jeżeli wnioskodawca będzie korzystał z danych bezpośrednio na mocy decyzji wydanej na skutek wniesienia sprzeciwu wydaje się, że egzekucja obowiązków niepieniężnych tj. dotyczących warunków ponownego wykorzystywania informacji sektora publicznego powinna być realizowana na podstawie ustaw</w:t>
            </w:r>
            <w:r w:rsidR="00646CF3" w:rsidRPr="00584929">
              <w:rPr>
                <w:rFonts w:ascii="Times New Roman" w:hAnsi="Times New Roman" w:cs="Times New Roman"/>
              </w:rPr>
              <w:t>y o postępowaniu egzekucyjnym w </w:t>
            </w:r>
            <w:r w:rsidRPr="00584929">
              <w:rPr>
                <w:rFonts w:ascii="Times New Roman" w:hAnsi="Times New Roman" w:cs="Times New Roman"/>
              </w:rPr>
              <w:t>administracji, a w takim przypadku koniecznie byłoby uzupełnienie przepisó</w:t>
            </w:r>
            <w:r w:rsidR="00646CF3" w:rsidRPr="00584929">
              <w:rPr>
                <w:rFonts w:ascii="Times New Roman" w:hAnsi="Times New Roman" w:cs="Times New Roman"/>
              </w:rPr>
              <w:t>w ustawy o stosowne odesłanie z </w:t>
            </w:r>
            <w:r w:rsidRPr="00584929">
              <w:rPr>
                <w:rFonts w:ascii="Times New Roman" w:hAnsi="Times New Roman" w:cs="Times New Roman"/>
              </w:rPr>
              <w:t>uwagi na treść art. 2 par. 1 pkt 10 w zw. z art. 3 par. 1 ustawy  z dnia 17 czerwca 1966 r. o postępowaniu egzekucyjnym w administracji, który wskazuje, że obowiązki niepieniężne podlegają egzekucji administracyjnej jeżeli  „wynikają z decyzji lub postanowień właści</w:t>
            </w:r>
            <w:r w:rsidR="00646CF3" w:rsidRPr="00584929">
              <w:rPr>
                <w:rFonts w:ascii="Times New Roman" w:hAnsi="Times New Roman" w:cs="Times New Roman"/>
              </w:rPr>
              <w:t xml:space="preserve">wych organów” (art. 3 par. 1) </w:t>
            </w:r>
            <w:r w:rsidR="00646CF3" w:rsidRPr="00584929">
              <w:rPr>
                <w:rFonts w:ascii="Times New Roman" w:hAnsi="Times New Roman" w:cs="Times New Roman"/>
              </w:rPr>
              <w:lastRenderedPageBreak/>
              <w:t>i </w:t>
            </w:r>
            <w:r w:rsidRPr="00584929">
              <w:rPr>
                <w:rFonts w:ascii="Times New Roman" w:hAnsi="Times New Roman" w:cs="Times New Roman"/>
              </w:rPr>
              <w:t>„zostały przekazane do egzekucji administracyjnej na podstawie przepisu szczególnego” (art. 2 par. 1 pkt 10).</w:t>
            </w:r>
          </w:p>
        </w:tc>
        <w:tc>
          <w:tcPr>
            <w:tcW w:w="4785" w:type="dxa"/>
            <w:shd w:val="clear" w:color="auto" w:fill="auto"/>
          </w:tcPr>
          <w:p w14:paraId="22A9540A" w14:textId="77777777" w:rsidR="0092159A" w:rsidRPr="00584929" w:rsidRDefault="00646CF3" w:rsidP="00646CF3">
            <w:pPr>
              <w:rPr>
                <w:rFonts w:ascii="Times New Roman" w:hAnsi="Times New Roman" w:cs="Times New Roman"/>
                <w:b/>
              </w:rPr>
            </w:pPr>
            <w:r w:rsidRPr="00584929">
              <w:rPr>
                <w:rFonts w:ascii="Times New Roman" w:hAnsi="Times New Roman" w:cs="Times New Roman"/>
                <w:b/>
              </w:rPr>
              <w:lastRenderedPageBreak/>
              <w:t xml:space="preserve">Uwaga </w:t>
            </w:r>
            <w:r w:rsidR="004873A1" w:rsidRPr="00584929">
              <w:rPr>
                <w:rFonts w:ascii="Times New Roman" w:hAnsi="Times New Roman" w:cs="Times New Roman"/>
                <w:b/>
              </w:rPr>
              <w:t>wy</w:t>
            </w:r>
            <w:r w:rsidRPr="00584929">
              <w:rPr>
                <w:rFonts w:ascii="Times New Roman" w:hAnsi="Times New Roman" w:cs="Times New Roman"/>
                <w:b/>
              </w:rPr>
              <w:t xml:space="preserve">jaśniona </w:t>
            </w:r>
          </w:p>
          <w:p w14:paraId="5509D4EE" w14:textId="77777777" w:rsidR="00646CF3" w:rsidRPr="00584929" w:rsidRDefault="00646CF3" w:rsidP="00646CF3">
            <w:pPr>
              <w:jc w:val="both"/>
              <w:rPr>
                <w:rFonts w:ascii="Times New Roman" w:hAnsi="Times New Roman" w:cs="Times New Roman"/>
              </w:rPr>
            </w:pPr>
            <w:r w:rsidRPr="00584929">
              <w:rPr>
                <w:rFonts w:ascii="Times New Roman" w:hAnsi="Times New Roman" w:cs="Times New Roman"/>
              </w:rPr>
              <w:t>Przepisy zostaną poddane dodatkowej analizie w ramach rozpatrzenia projektu ustawy przez Komisję prawniczą.</w:t>
            </w:r>
          </w:p>
          <w:p w14:paraId="753A8B5E" w14:textId="77777777" w:rsidR="00646CF3" w:rsidRPr="00584929" w:rsidRDefault="00646CF3" w:rsidP="00646CF3">
            <w:pPr>
              <w:rPr>
                <w:rFonts w:ascii="Times New Roman" w:hAnsi="Times New Roman" w:cs="Times New Roman"/>
                <w:b/>
              </w:rPr>
            </w:pPr>
          </w:p>
          <w:p w14:paraId="63D80D4A" w14:textId="24C3FFA6" w:rsidR="00646CF3" w:rsidRPr="00584929" w:rsidRDefault="00646CF3" w:rsidP="00646CF3">
            <w:pPr>
              <w:jc w:val="both"/>
              <w:rPr>
                <w:rFonts w:ascii="Times New Roman" w:hAnsi="Times New Roman" w:cs="Times New Roman"/>
                <w:b/>
              </w:rPr>
            </w:pPr>
            <w:r w:rsidRPr="00584929">
              <w:rPr>
                <w:rFonts w:ascii="Times New Roman" w:hAnsi="Times New Roman" w:cs="Times New Roman"/>
              </w:rPr>
              <w:t>Dodatkowe wyjaśnienie: przepisy funkcjonują w ustawie z 2016 r. i nie był kwestionowane.</w:t>
            </w:r>
          </w:p>
        </w:tc>
      </w:tr>
      <w:tr w:rsidR="004873A1" w:rsidRPr="00584929" w14:paraId="09ED295B" w14:textId="77777777" w:rsidTr="00D94ED7">
        <w:tc>
          <w:tcPr>
            <w:tcW w:w="676" w:type="dxa"/>
            <w:shd w:val="clear" w:color="auto" w:fill="auto"/>
          </w:tcPr>
          <w:p w14:paraId="4E1CB7E8"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3EC81659" w14:textId="3B7E47CF" w:rsidR="004873A1" w:rsidRPr="00584929" w:rsidRDefault="00521864" w:rsidP="004A29FC">
            <w:pPr>
              <w:rPr>
                <w:rFonts w:ascii="Times New Roman" w:hAnsi="Times New Roman" w:cs="Times New Roman"/>
              </w:rPr>
            </w:pPr>
            <w:r w:rsidRPr="00584929">
              <w:rPr>
                <w:rFonts w:ascii="Times New Roman" w:hAnsi="Times New Roman" w:cs="Times New Roman"/>
              </w:rPr>
              <w:t>Kancelaria Prezesa Rady Ministrów</w:t>
            </w:r>
          </w:p>
        </w:tc>
        <w:tc>
          <w:tcPr>
            <w:tcW w:w="1526" w:type="dxa"/>
            <w:shd w:val="clear" w:color="auto" w:fill="auto"/>
          </w:tcPr>
          <w:p w14:paraId="1D0E30B9" w14:textId="158B1429" w:rsidR="004873A1" w:rsidRPr="00584929" w:rsidRDefault="00521864" w:rsidP="004A29FC">
            <w:pPr>
              <w:rPr>
                <w:rFonts w:ascii="Times New Roman" w:hAnsi="Times New Roman" w:cs="Times New Roman"/>
              </w:rPr>
            </w:pPr>
            <w:r w:rsidRPr="00584929">
              <w:rPr>
                <w:rFonts w:ascii="Times New Roman" w:hAnsi="Times New Roman" w:cs="Times New Roman"/>
              </w:rPr>
              <w:t>Art. 42 ust. 1</w:t>
            </w:r>
          </w:p>
        </w:tc>
        <w:tc>
          <w:tcPr>
            <w:tcW w:w="5323" w:type="dxa"/>
            <w:shd w:val="clear" w:color="auto" w:fill="auto"/>
          </w:tcPr>
          <w:p w14:paraId="0FCACA74" w14:textId="56FBC297" w:rsidR="00521864" w:rsidRPr="00584929" w:rsidRDefault="00521864" w:rsidP="00231C68">
            <w:pPr>
              <w:jc w:val="both"/>
              <w:rPr>
                <w:rFonts w:ascii="Times New Roman" w:hAnsi="Times New Roman" w:cs="Times New Roman"/>
              </w:rPr>
            </w:pPr>
            <w:r w:rsidRPr="00584929">
              <w:rPr>
                <w:rFonts w:ascii="Times New Roman" w:hAnsi="Times New Roman" w:cs="Times New Roman"/>
              </w:rPr>
              <w:t>Zgodnie z art. 42 ust. 1 projektu organem odwoławczym od decyzji o odmowie wyrażenia zgody na ponowne wykorzystywanie informacji sektor</w:t>
            </w:r>
            <w:r w:rsidR="00231C68" w:rsidRPr="00584929">
              <w:rPr>
                <w:rFonts w:ascii="Times New Roman" w:hAnsi="Times New Roman" w:cs="Times New Roman"/>
              </w:rPr>
              <w:t>a publicznego oraz od decyzji o </w:t>
            </w:r>
            <w:r w:rsidRPr="00584929">
              <w:rPr>
                <w:rFonts w:ascii="Times New Roman" w:hAnsi="Times New Roman" w:cs="Times New Roman"/>
              </w:rPr>
              <w:t>warunkach ponownego wykorzystywania lub o wysokości opłat za ponowne wykorzystywanie ma być minister właściwy do spraw informatyzacji. Z uzasadnienia projektu wynika, że zamiarem projektodawców jest zacho</w:t>
            </w:r>
            <w:r w:rsidR="00231C68" w:rsidRPr="00584929">
              <w:rPr>
                <w:rFonts w:ascii="Times New Roman" w:hAnsi="Times New Roman" w:cs="Times New Roman"/>
              </w:rPr>
              <w:t>wanie zasady wynikającej z art. </w:t>
            </w:r>
            <w:r w:rsidRPr="00584929">
              <w:rPr>
                <w:rFonts w:ascii="Times New Roman" w:hAnsi="Times New Roman" w:cs="Times New Roman"/>
              </w:rPr>
              <w:t>127 § 3 Kodeksu postępowania administra</w:t>
            </w:r>
            <w:r w:rsidR="00231C68" w:rsidRPr="00584929">
              <w:rPr>
                <w:rFonts w:ascii="Times New Roman" w:hAnsi="Times New Roman" w:cs="Times New Roman"/>
              </w:rPr>
              <w:t>cyjnego. Ze względu na użycie w </w:t>
            </w:r>
            <w:r w:rsidRPr="00584929">
              <w:rPr>
                <w:rFonts w:ascii="Times New Roman" w:hAnsi="Times New Roman" w:cs="Times New Roman"/>
              </w:rPr>
              <w:t>projekcie określenia „organ odwoławczy” powstaje jednak wątpliwość, że art. 42 ust. 1 projektu nawiązuje do art. 127 § 2 Kodeksu po</w:t>
            </w:r>
            <w:r w:rsidR="00231C68" w:rsidRPr="00584929">
              <w:rPr>
                <w:rFonts w:ascii="Times New Roman" w:hAnsi="Times New Roman" w:cs="Times New Roman"/>
              </w:rPr>
              <w:t>stępowania administracyjnego. W </w:t>
            </w:r>
            <w:r w:rsidRPr="00584929">
              <w:rPr>
                <w:rFonts w:ascii="Times New Roman" w:hAnsi="Times New Roman" w:cs="Times New Roman"/>
              </w:rPr>
              <w:t>związku z tym proponuje się przeredagować przepis w sposób pozwalający jednoznacznie uniknąć wskazanej wątpliwości. Przykładowo art. 42 ust. 1 projektu mógłby otrzymać brzmienie:</w:t>
            </w:r>
          </w:p>
          <w:p w14:paraId="446FDB42" w14:textId="386003BB" w:rsidR="00521864" w:rsidRPr="00584929" w:rsidRDefault="00521864" w:rsidP="00231C68">
            <w:pPr>
              <w:jc w:val="both"/>
              <w:rPr>
                <w:rFonts w:ascii="Times New Roman" w:hAnsi="Times New Roman" w:cs="Times New Roman"/>
              </w:rPr>
            </w:pPr>
            <w:r w:rsidRPr="00584929">
              <w:rPr>
                <w:rFonts w:ascii="Times New Roman" w:hAnsi="Times New Roman" w:cs="Times New Roman"/>
              </w:rPr>
              <w:t>„Organem odwoławczym od decyzji o odmowie wyrażenia zgody na ponowne wykorzystywanie informacji sektora publicznego oraz od decyzji o warunkach ponownego wykorzystywania lub o wysokości opłat za ponowne wykorzystywanie jest minister właściwy do spraw informatyzacji, z zastrzeżeniem art. 127 § 3 ustawy z dnia 14 czerwca 1960 r. – Kodeks postępowania administracyjnego (Dz. U. z 2020 r. poz. 256, 695 i 1298).”</w:t>
            </w:r>
          </w:p>
        </w:tc>
        <w:tc>
          <w:tcPr>
            <w:tcW w:w="4785" w:type="dxa"/>
            <w:shd w:val="clear" w:color="auto" w:fill="auto"/>
          </w:tcPr>
          <w:p w14:paraId="15B29D00" w14:textId="77777777" w:rsidR="004873A1" w:rsidRPr="00584929" w:rsidRDefault="006E2F83" w:rsidP="004A29FC">
            <w:pPr>
              <w:rPr>
                <w:rFonts w:ascii="Times New Roman" w:hAnsi="Times New Roman" w:cs="Times New Roman"/>
                <w:b/>
              </w:rPr>
            </w:pPr>
            <w:r w:rsidRPr="00584929">
              <w:rPr>
                <w:rFonts w:ascii="Times New Roman" w:hAnsi="Times New Roman" w:cs="Times New Roman"/>
                <w:b/>
              </w:rPr>
              <w:t xml:space="preserve">Uwaga uwzględniona </w:t>
            </w:r>
          </w:p>
          <w:p w14:paraId="123B59B5" w14:textId="23C571C3" w:rsidR="006E2F83" w:rsidRPr="00584929" w:rsidRDefault="006E2F83" w:rsidP="004A29FC">
            <w:pPr>
              <w:rPr>
                <w:rFonts w:ascii="Times New Roman" w:hAnsi="Times New Roman" w:cs="Times New Roman"/>
              </w:rPr>
            </w:pPr>
            <w:r w:rsidRPr="00584929">
              <w:rPr>
                <w:rFonts w:ascii="Times New Roman" w:hAnsi="Times New Roman" w:cs="Times New Roman"/>
              </w:rPr>
              <w:t xml:space="preserve">Przepis zostanie zmieniony.  </w:t>
            </w:r>
          </w:p>
        </w:tc>
      </w:tr>
      <w:tr w:rsidR="000E14FE" w:rsidRPr="00584929" w14:paraId="3F448778" w14:textId="77777777" w:rsidTr="00D94ED7">
        <w:tc>
          <w:tcPr>
            <w:tcW w:w="676" w:type="dxa"/>
            <w:shd w:val="clear" w:color="auto" w:fill="auto"/>
          </w:tcPr>
          <w:p w14:paraId="70AEF659" w14:textId="77777777" w:rsidR="000E14FE" w:rsidRPr="00584929" w:rsidRDefault="000E14FE" w:rsidP="004A29FC">
            <w:pPr>
              <w:pStyle w:val="Akapitzlist"/>
              <w:numPr>
                <w:ilvl w:val="0"/>
                <w:numId w:val="20"/>
              </w:numPr>
              <w:rPr>
                <w:sz w:val="22"/>
                <w:szCs w:val="22"/>
              </w:rPr>
            </w:pPr>
          </w:p>
        </w:tc>
        <w:tc>
          <w:tcPr>
            <w:tcW w:w="1968" w:type="dxa"/>
            <w:shd w:val="clear" w:color="auto" w:fill="auto"/>
          </w:tcPr>
          <w:p w14:paraId="61E72AFC" w14:textId="77777777" w:rsidR="000E14FE" w:rsidRPr="00584929" w:rsidRDefault="000E14FE" w:rsidP="004A29FC">
            <w:pPr>
              <w:rPr>
                <w:rFonts w:ascii="Times New Roman" w:hAnsi="Times New Roman" w:cs="Times New Roman"/>
              </w:rPr>
            </w:pPr>
            <w:r w:rsidRPr="00584929">
              <w:rPr>
                <w:rFonts w:ascii="Times New Roman" w:hAnsi="Times New Roman" w:cs="Times New Roman"/>
              </w:rPr>
              <w:t>Rządowe Centrum Legislacji</w:t>
            </w:r>
          </w:p>
          <w:p w14:paraId="032DB73C" w14:textId="282300EC" w:rsidR="000E14FE" w:rsidRPr="00584929" w:rsidRDefault="000E14FE" w:rsidP="004A29FC">
            <w:pPr>
              <w:rPr>
                <w:rFonts w:ascii="Times New Roman" w:hAnsi="Times New Roman" w:cs="Times New Roman"/>
              </w:rPr>
            </w:pPr>
          </w:p>
        </w:tc>
        <w:tc>
          <w:tcPr>
            <w:tcW w:w="1526" w:type="dxa"/>
            <w:shd w:val="clear" w:color="auto" w:fill="auto"/>
          </w:tcPr>
          <w:p w14:paraId="0BDB38DD" w14:textId="23DEE306" w:rsidR="000E14FE" w:rsidRPr="00584929" w:rsidRDefault="000E14FE" w:rsidP="004A29FC">
            <w:pPr>
              <w:rPr>
                <w:rFonts w:ascii="Times New Roman" w:hAnsi="Times New Roman" w:cs="Times New Roman"/>
              </w:rPr>
            </w:pPr>
            <w:r w:rsidRPr="00584929">
              <w:rPr>
                <w:rFonts w:ascii="Times New Roman" w:hAnsi="Times New Roman" w:cs="Times New Roman"/>
              </w:rPr>
              <w:t>Rozdział 10</w:t>
            </w:r>
          </w:p>
        </w:tc>
        <w:tc>
          <w:tcPr>
            <w:tcW w:w="5323" w:type="dxa"/>
            <w:shd w:val="clear" w:color="auto" w:fill="auto"/>
          </w:tcPr>
          <w:p w14:paraId="1C1813A6" w14:textId="77777777" w:rsidR="000E14FE" w:rsidRPr="00584929" w:rsidRDefault="000E14FE" w:rsidP="00231C68">
            <w:pPr>
              <w:jc w:val="both"/>
              <w:rPr>
                <w:rFonts w:ascii="Times New Roman" w:hAnsi="Times New Roman" w:cs="Times New Roman"/>
              </w:rPr>
            </w:pPr>
            <w:r w:rsidRPr="00584929">
              <w:rPr>
                <w:rFonts w:ascii="Times New Roman" w:hAnsi="Times New Roman" w:cs="Times New Roman"/>
              </w:rPr>
              <w:t>W zakresie przepisów zmieniających:</w:t>
            </w:r>
          </w:p>
          <w:p w14:paraId="74213560" w14:textId="2CF577C3" w:rsidR="000E14FE" w:rsidRPr="00584929" w:rsidRDefault="000E14FE" w:rsidP="00231C68">
            <w:pPr>
              <w:jc w:val="both"/>
              <w:rPr>
                <w:rFonts w:ascii="Times New Roman" w:hAnsi="Times New Roman" w:cs="Times New Roman"/>
              </w:rPr>
            </w:pPr>
            <w:r w:rsidRPr="00584929">
              <w:rPr>
                <w:rFonts w:ascii="Times New Roman" w:hAnsi="Times New Roman" w:cs="Times New Roman"/>
              </w:rPr>
              <w:t xml:space="preserve">Przepisy te powinny zostać uzupełnione o zmianę art. 21 i 25a ustawy z dnia 8 września 2006 r. o Państwowym Ratownictwie Medycznym (Dz. U z 2020 r. poz. 822), art. 29 ust. 6 ustawy z dnia 24 listopada 2017 r. o imprezach turystycznych i powiązanych usługach turystycznych przez aktualizację odesłania do ustawy o ponownym </w:t>
            </w:r>
            <w:r w:rsidRPr="00584929">
              <w:rPr>
                <w:rFonts w:ascii="Times New Roman" w:hAnsi="Times New Roman" w:cs="Times New Roman"/>
              </w:rPr>
              <w:lastRenderedPageBreak/>
              <w:t>wykorzystywaniu informacji sektora</w:t>
            </w:r>
            <w:r w:rsidR="005D7E93" w:rsidRPr="00584929">
              <w:rPr>
                <w:rFonts w:ascii="Times New Roman" w:hAnsi="Times New Roman" w:cs="Times New Roman"/>
              </w:rPr>
              <w:t xml:space="preserve"> publicznego w tych przepisach.</w:t>
            </w:r>
          </w:p>
        </w:tc>
        <w:tc>
          <w:tcPr>
            <w:tcW w:w="4785" w:type="dxa"/>
            <w:shd w:val="clear" w:color="auto" w:fill="auto"/>
          </w:tcPr>
          <w:p w14:paraId="19840440" w14:textId="77777777" w:rsidR="000E14FE" w:rsidRPr="00584929" w:rsidRDefault="000E14FE" w:rsidP="004A29FC">
            <w:pPr>
              <w:rPr>
                <w:rFonts w:ascii="Times New Roman" w:hAnsi="Times New Roman" w:cs="Times New Roman"/>
                <w:b/>
              </w:rPr>
            </w:pPr>
            <w:r w:rsidRPr="00584929">
              <w:rPr>
                <w:rFonts w:ascii="Times New Roman" w:hAnsi="Times New Roman" w:cs="Times New Roman"/>
                <w:b/>
              </w:rPr>
              <w:lastRenderedPageBreak/>
              <w:t>Uwaga uwzględniona</w:t>
            </w:r>
          </w:p>
          <w:p w14:paraId="39099276" w14:textId="0A845DD7" w:rsidR="003A4527" w:rsidRPr="00584929" w:rsidRDefault="006E2F83" w:rsidP="004A29FC">
            <w:pPr>
              <w:rPr>
                <w:rFonts w:ascii="Times New Roman" w:hAnsi="Times New Roman" w:cs="Times New Roman"/>
              </w:rPr>
            </w:pPr>
            <w:r w:rsidRPr="00584929">
              <w:rPr>
                <w:rFonts w:ascii="Times New Roman" w:hAnsi="Times New Roman" w:cs="Times New Roman"/>
              </w:rPr>
              <w:t xml:space="preserve">Przepisy zostaną dodane do projektu ustawy. </w:t>
            </w:r>
          </w:p>
        </w:tc>
      </w:tr>
      <w:tr w:rsidR="000414C3" w:rsidRPr="00584929" w14:paraId="64A1358C" w14:textId="77777777" w:rsidTr="00D94ED7">
        <w:tc>
          <w:tcPr>
            <w:tcW w:w="676" w:type="dxa"/>
            <w:shd w:val="clear" w:color="auto" w:fill="auto"/>
          </w:tcPr>
          <w:p w14:paraId="2E06528F" w14:textId="77777777" w:rsidR="000414C3" w:rsidRPr="00584929" w:rsidRDefault="000414C3" w:rsidP="004A29FC">
            <w:pPr>
              <w:pStyle w:val="Akapitzlist"/>
              <w:numPr>
                <w:ilvl w:val="0"/>
                <w:numId w:val="20"/>
              </w:numPr>
              <w:rPr>
                <w:sz w:val="22"/>
                <w:szCs w:val="22"/>
              </w:rPr>
            </w:pPr>
          </w:p>
        </w:tc>
        <w:tc>
          <w:tcPr>
            <w:tcW w:w="1968" w:type="dxa"/>
            <w:shd w:val="clear" w:color="auto" w:fill="auto"/>
          </w:tcPr>
          <w:p w14:paraId="4CBD2880" w14:textId="77777777" w:rsidR="000414C3" w:rsidRPr="00584929" w:rsidRDefault="000414C3" w:rsidP="004A29FC">
            <w:pPr>
              <w:rPr>
                <w:rFonts w:ascii="Times New Roman" w:hAnsi="Times New Roman" w:cs="Times New Roman"/>
              </w:rPr>
            </w:pPr>
            <w:r w:rsidRPr="00584929">
              <w:rPr>
                <w:rFonts w:ascii="Times New Roman" w:hAnsi="Times New Roman" w:cs="Times New Roman"/>
              </w:rPr>
              <w:t>Ministerstwo Rozwoju</w:t>
            </w:r>
          </w:p>
          <w:p w14:paraId="4399F4F1" w14:textId="5C192C16" w:rsidR="000414C3" w:rsidRPr="00584929" w:rsidRDefault="000414C3" w:rsidP="004A29FC">
            <w:pPr>
              <w:rPr>
                <w:rFonts w:ascii="Times New Roman" w:hAnsi="Times New Roman" w:cs="Times New Roman"/>
              </w:rPr>
            </w:pPr>
          </w:p>
        </w:tc>
        <w:tc>
          <w:tcPr>
            <w:tcW w:w="1526" w:type="dxa"/>
            <w:shd w:val="clear" w:color="auto" w:fill="auto"/>
          </w:tcPr>
          <w:p w14:paraId="5D8112E5" w14:textId="77777777" w:rsidR="000414C3" w:rsidRPr="00584929" w:rsidRDefault="000414C3" w:rsidP="004A29FC">
            <w:pPr>
              <w:rPr>
                <w:rFonts w:ascii="Times New Roman" w:hAnsi="Times New Roman" w:cs="Times New Roman"/>
              </w:rPr>
            </w:pPr>
            <w:r w:rsidRPr="00584929">
              <w:rPr>
                <w:rFonts w:ascii="Times New Roman" w:hAnsi="Times New Roman" w:cs="Times New Roman"/>
              </w:rPr>
              <w:t>Rozdział 10</w:t>
            </w:r>
          </w:p>
          <w:p w14:paraId="045695D9" w14:textId="340275B9" w:rsidR="00E762ED" w:rsidRPr="00584929" w:rsidRDefault="00E762ED" w:rsidP="004A29FC">
            <w:pPr>
              <w:rPr>
                <w:rFonts w:ascii="Times New Roman" w:hAnsi="Times New Roman" w:cs="Times New Roman"/>
              </w:rPr>
            </w:pPr>
            <w:r w:rsidRPr="00584929">
              <w:rPr>
                <w:rFonts w:ascii="Times New Roman" w:hAnsi="Times New Roman" w:cs="Times New Roman"/>
              </w:rPr>
              <w:t>i 11</w:t>
            </w:r>
          </w:p>
        </w:tc>
        <w:tc>
          <w:tcPr>
            <w:tcW w:w="5323" w:type="dxa"/>
            <w:shd w:val="clear" w:color="auto" w:fill="auto"/>
          </w:tcPr>
          <w:p w14:paraId="2AD76D82" w14:textId="61A3D36A" w:rsidR="000414C3" w:rsidRPr="00584929" w:rsidRDefault="000414C3" w:rsidP="00231C68">
            <w:pPr>
              <w:jc w:val="both"/>
              <w:rPr>
                <w:rFonts w:ascii="Times New Roman" w:hAnsi="Times New Roman" w:cs="Times New Roman"/>
              </w:rPr>
            </w:pPr>
            <w:r w:rsidRPr="00584929">
              <w:rPr>
                <w:rFonts w:ascii="Times New Roman" w:hAnsi="Times New Roman" w:cs="Times New Roman"/>
              </w:rPr>
              <w:t>Ponadto wnosimy o wprowadzenie do projektowanej ustawy przepisów zmieniających Ustawę z dnia 2</w:t>
            </w:r>
            <w:r w:rsidR="00231C68" w:rsidRPr="00584929">
              <w:rPr>
                <w:rFonts w:ascii="Times New Roman" w:hAnsi="Times New Roman" w:cs="Times New Roman"/>
              </w:rPr>
              <w:t xml:space="preserve">7 marca 2003 r. o planowaniu i </w:t>
            </w:r>
            <w:r w:rsidRPr="00584929">
              <w:rPr>
                <w:rFonts w:ascii="Times New Roman" w:hAnsi="Times New Roman" w:cs="Times New Roman"/>
              </w:rPr>
              <w:t>zagospodarowaniu przestrzennym (tekst jedn. Dz.U. 2020 poz.293 z późn.zm.).</w:t>
            </w:r>
          </w:p>
          <w:p w14:paraId="2590D232" w14:textId="77777777" w:rsidR="000414C3" w:rsidRPr="00584929" w:rsidRDefault="000414C3" w:rsidP="00231C68">
            <w:pPr>
              <w:jc w:val="both"/>
              <w:rPr>
                <w:rFonts w:ascii="Times New Roman" w:hAnsi="Times New Roman" w:cs="Times New Roman"/>
              </w:rPr>
            </w:pPr>
            <w:r w:rsidRPr="00584929">
              <w:rPr>
                <w:rFonts w:ascii="Times New Roman" w:hAnsi="Times New Roman" w:cs="Times New Roman"/>
              </w:rPr>
              <w:t>Rozdział 10 „Zmiany w przepisach obowiązujących”</w:t>
            </w:r>
          </w:p>
          <w:p w14:paraId="3FDC83F5" w14:textId="77777777" w:rsidR="000414C3" w:rsidRPr="00584929" w:rsidRDefault="000414C3" w:rsidP="00231C68">
            <w:pPr>
              <w:jc w:val="both"/>
              <w:rPr>
                <w:rFonts w:ascii="Times New Roman" w:hAnsi="Times New Roman" w:cs="Times New Roman"/>
              </w:rPr>
            </w:pPr>
            <w:r w:rsidRPr="00584929">
              <w:rPr>
                <w:rFonts w:ascii="Times New Roman" w:hAnsi="Times New Roman" w:cs="Times New Roman"/>
              </w:rPr>
              <w:t xml:space="preserve">Art. X   </w:t>
            </w:r>
          </w:p>
          <w:p w14:paraId="09BF25E6" w14:textId="0437A973" w:rsidR="000414C3" w:rsidRPr="00584929" w:rsidRDefault="000414C3" w:rsidP="00231C68">
            <w:pPr>
              <w:jc w:val="both"/>
              <w:rPr>
                <w:rFonts w:ascii="Times New Roman" w:hAnsi="Times New Roman" w:cs="Times New Roman"/>
              </w:rPr>
            </w:pPr>
            <w:r w:rsidRPr="00584929">
              <w:rPr>
                <w:rFonts w:ascii="Times New Roman" w:hAnsi="Times New Roman" w:cs="Times New Roman"/>
              </w:rPr>
              <w:t xml:space="preserve">W ustawie z dnia </w:t>
            </w:r>
            <w:r w:rsidR="006E2F83" w:rsidRPr="00584929">
              <w:rPr>
                <w:rFonts w:ascii="Times New Roman" w:hAnsi="Times New Roman" w:cs="Times New Roman"/>
              </w:rPr>
              <w:t>27 marca 2003 r. o planowaniu i </w:t>
            </w:r>
            <w:r w:rsidRPr="00584929">
              <w:rPr>
                <w:rFonts w:ascii="Times New Roman" w:hAnsi="Times New Roman" w:cs="Times New Roman"/>
              </w:rPr>
              <w:t>zagospodarowaniu przestrzennym (tekst jedn. Dz. U. 2020 poz. 293 z późn.zm.) wprowadza się następujące zmiany:</w:t>
            </w:r>
          </w:p>
          <w:p w14:paraId="051D9E82" w14:textId="3B0968C1" w:rsidR="000414C3" w:rsidRPr="00584929" w:rsidRDefault="000414C3" w:rsidP="00231C68">
            <w:pPr>
              <w:numPr>
                <w:ilvl w:val="0"/>
                <w:numId w:val="3"/>
              </w:numPr>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W art. 57 po us</w:t>
            </w:r>
            <w:r w:rsidR="006E2F83" w:rsidRPr="00584929">
              <w:rPr>
                <w:rFonts w:ascii="Times New Roman" w:eastAsia="Calibri" w:hAnsi="Times New Roman" w:cs="Times New Roman"/>
                <w:lang w:eastAsia="pl-PL"/>
              </w:rPr>
              <w:t>t. 4 dodaje się ustępy 5 do 7 w </w:t>
            </w:r>
            <w:r w:rsidRPr="00584929">
              <w:rPr>
                <w:rFonts w:ascii="Times New Roman" w:eastAsia="Calibri" w:hAnsi="Times New Roman" w:cs="Times New Roman"/>
                <w:lang w:eastAsia="pl-PL"/>
              </w:rPr>
              <w:t xml:space="preserve">brzmieniu: </w:t>
            </w:r>
          </w:p>
          <w:p w14:paraId="5C568C4F" w14:textId="35BB32AC" w:rsidR="000414C3" w:rsidRPr="00584929" w:rsidRDefault="000414C3" w:rsidP="00231C68">
            <w:pPr>
              <w:ind w:left="373"/>
              <w:jc w:val="both"/>
              <w:rPr>
                <w:rFonts w:ascii="Times New Roman" w:hAnsi="Times New Roman" w:cs="Times New Roman"/>
              </w:rPr>
            </w:pPr>
            <w:r w:rsidRPr="00584929">
              <w:rPr>
                <w:rFonts w:ascii="Times New Roman" w:hAnsi="Times New Roman" w:cs="Times New Roman"/>
              </w:rPr>
              <w:t>5. Rejestry</w:t>
            </w:r>
            <w:r w:rsidR="00231C68" w:rsidRPr="00584929">
              <w:rPr>
                <w:rFonts w:ascii="Times New Roman" w:hAnsi="Times New Roman" w:cs="Times New Roman"/>
              </w:rPr>
              <w:t xml:space="preserve">, o których mowa w ust. 1, 2 i </w:t>
            </w:r>
            <w:r w:rsidRPr="00584929">
              <w:rPr>
                <w:rFonts w:ascii="Times New Roman" w:hAnsi="Times New Roman" w:cs="Times New Roman"/>
              </w:rPr>
              <w:t>3 podlegają przekazaniu ministrowi właściwemu do s</w:t>
            </w:r>
            <w:r w:rsidR="00231C68" w:rsidRPr="00584929">
              <w:rPr>
                <w:rFonts w:ascii="Times New Roman" w:hAnsi="Times New Roman" w:cs="Times New Roman"/>
              </w:rPr>
              <w:t xml:space="preserve">praw budownictwa, planowania i </w:t>
            </w:r>
            <w:r w:rsidRPr="00584929">
              <w:rPr>
                <w:rFonts w:ascii="Times New Roman" w:hAnsi="Times New Roman" w:cs="Times New Roman"/>
              </w:rPr>
              <w:t xml:space="preserve">zagospodarowania przestrzennego oraz mieszkalnictwa: </w:t>
            </w:r>
          </w:p>
          <w:p w14:paraId="7F519D8B" w14:textId="41E19FB3" w:rsidR="000414C3" w:rsidRPr="00584929" w:rsidRDefault="000414C3" w:rsidP="00231C68">
            <w:pPr>
              <w:numPr>
                <w:ilvl w:val="0"/>
                <w:numId w:val="4"/>
              </w:numPr>
              <w:ind w:left="1081"/>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dla d</w:t>
            </w:r>
            <w:r w:rsidR="006E2F83" w:rsidRPr="00584929">
              <w:rPr>
                <w:rFonts w:ascii="Times New Roman" w:eastAsia="Calibri" w:hAnsi="Times New Roman" w:cs="Times New Roman"/>
                <w:lang w:eastAsia="pl-PL"/>
              </w:rPr>
              <w:t>ecyzji wydanych do 30 czerwca w </w:t>
            </w:r>
            <w:r w:rsidRPr="00584929">
              <w:rPr>
                <w:rFonts w:ascii="Times New Roman" w:eastAsia="Calibri" w:hAnsi="Times New Roman" w:cs="Times New Roman"/>
                <w:lang w:eastAsia="pl-PL"/>
              </w:rPr>
              <w:t>terminie do dnia 14 lipca;</w:t>
            </w:r>
          </w:p>
          <w:p w14:paraId="7915DE72" w14:textId="09F205D4" w:rsidR="000414C3" w:rsidRPr="00584929" w:rsidRDefault="000414C3" w:rsidP="00231C68">
            <w:pPr>
              <w:numPr>
                <w:ilvl w:val="0"/>
                <w:numId w:val="4"/>
              </w:numPr>
              <w:ind w:left="1081"/>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dla d</w:t>
            </w:r>
            <w:r w:rsidR="006E2F83" w:rsidRPr="00584929">
              <w:rPr>
                <w:rFonts w:ascii="Times New Roman" w:eastAsia="Calibri" w:hAnsi="Times New Roman" w:cs="Times New Roman"/>
                <w:lang w:eastAsia="pl-PL"/>
              </w:rPr>
              <w:t>ecyzji wydanych do 31 grudnia w </w:t>
            </w:r>
            <w:r w:rsidRPr="00584929">
              <w:rPr>
                <w:rFonts w:ascii="Times New Roman" w:eastAsia="Calibri" w:hAnsi="Times New Roman" w:cs="Times New Roman"/>
                <w:lang w:eastAsia="pl-PL"/>
              </w:rPr>
              <w:t>terminie do dnia 14 stycznia roku następującego po roku objętym rejestrem.</w:t>
            </w:r>
          </w:p>
          <w:p w14:paraId="5703AC7B" w14:textId="514A15F5" w:rsidR="000414C3" w:rsidRPr="00584929" w:rsidRDefault="000414C3" w:rsidP="00231C68">
            <w:pPr>
              <w:ind w:left="514"/>
              <w:jc w:val="both"/>
              <w:rPr>
                <w:rFonts w:ascii="Times New Roman" w:hAnsi="Times New Roman" w:cs="Times New Roman"/>
              </w:rPr>
            </w:pPr>
            <w:r w:rsidRPr="00584929">
              <w:rPr>
                <w:rFonts w:ascii="Times New Roman" w:hAnsi="Times New Roman" w:cs="Times New Roman"/>
              </w:rPr>
              <w:t>6. W przypadku nieprzekazania rejestru, o k</w:t>
            </w:r>
            <w:r w:rsidR="00231C68" w:rsidRPr="00584929">
              <w:rPr>
                <w:rFonts w:ascii="Times New Roman" w:hAnsi="Times New Roman" w:cs="Times New Roman"/>
              </w:rPr>
              <w:t>tórym mowa w ust. 1, 2 lub 3, w </w:t>
            </w:r>
            <w:r w:rsidR="006E2F83" w:rsidRPr="00584929">
              <w:rPr>
                <w:rFonts w:ascii="Times New Roman" w:hAnsi="Times New Roman" w:cs="Times New Roman"/>
              </w:rPr>
              <w:t>terminie wyznaczonym w </w:t>
            </w:r>
            <w:r w:rsidRPr="00584929">
              <w:rPr>
                <w:rFonts w:ascii="Times New Roman" w:hAnsi="Times New Roman" w:cs="Times New Roman"/>
              </w:rPr>
              <w:t>ust. 5, minister właściwy do spraw budownictwa, planowania i zagospodarowania przestrzennego oraz mieszkalnictwa wymierza temu organowi, w drodze postanowienia, na które przysługuje zażalenie, karę pieniężną w wysokości 500 zł za każdy dzień zwłoki. Wpływy z kar pieniężnych stanowią dochód budżetu państwa.</w:t>
            </w:r>
          </w:p>
          <w:p w14:paraId="42FCC845" w14:textId="14BFBA0C" w:rsidR="000414C3" w:rsidRPr="00584929" w:rsidRDefault="000414C3" w:rsidP="00231C68">
            <w:pPr>
              <w:ind w:left="514"/>
              <w:jc w:val="both"/>
              <w:rPr>
                <w:rFonts w:ascii="Times New Roman" w:hAnsi="Times New Roman" w:cs="Times New Roman"/>
              </w:rPr>
            </w:pPr>
            <w:r w:rsidRPr="00584929">
              <w:rPr>
                <w:rFonts w:ascii="Times New Roman" w:hAnsi="Times New Roman" w:cs="Times New Roman"/>
              </w:rPr>
              <w:t>7. Rejest</w:t>
            </w:r>
            <w:r w:rsidR="00231C68" w:rsidRPr="00584929">
              <w:rPr>
                <w:rFonts w:ascii="Times New Roman" w:hAnsi="Times New Roman" w:cs="Times New Roman"/>
              </w:rPr>
              <w:t xml:space="preserve">r, o którym mowa w ust. 1, 2 i </w:t>
            </w:r>
            <w:r w:rsidRPr="00584929">
              <w:rPr>
                <w:rFonts w:ascii="Times New Roman" w:hAnsi="Times New Roman" w:cs="Times New Roman"/>
              </w:rPr>
              <w:t xml:space="preserve">3 przekazuje się w formie edytowalnego dokumentu </w:t>
            </w:r>
            <w:r w:rsidRPr="00584929">
              <w:rPr>
                <w:rFonts w:ascii="Times New Roman" w:hAnsi="Times New Roman" w:cs="Times New Roman"/>
              </w:rPr>
              <w:lastRenderedPageBreak/>
              <w:t>elektronicznego za pośrednictwem elektronicznej skrzynki podawczej.</w:t>
            </w:r>
          </w:p>
          <w:p w14:paraId="769BD3E2" w14:textId="6E9BDE32" w:rsidR="000414C3" w:rsidRPr="00584929" w:rsidRDefault="000414C3" w:rsidP="00231C68">
            <w:pPr>
              <w:numPr>
                <w:ilvl w:val="0"/>
                <w:numId w:val="5"/>
              </w:numPr>
              <w:ind w:left="798"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 xml:space="preserve">W art. 67 </w:t>
            </w:r>
            <w:r w:rsidR="006E2F83" w:rsidRPr="00584929">
              <w:rPr>
                <w:rFonts w:ascii="Times New Roman" w:eastAsia="Calibri" w:hAnsi="Times New Roman" w:cs="Times New Roman"/>
                <w:lang w:eastAsia="pl-PL"/>
              </w:rPr>
              <w:t>po ust. 1 dodaje się ustęp 1a w </w:t>
            </w:r>
            <w:r w:rsidRPr="00584929">
              <w:rPr>
                <w:rFonts w:ascii="Times New Roman" w:eastAsia="Calibri" w:hAnsi="Times New Roman" w:cs="Times New Roman"/>
                <w:lang w:eastAsia="pl-PL"/>
              </w:rPr>
              <w:t xml:space="preserve">brzmieniu: </w:t>
            </w:r>
          </w:p>
          <w:p w14:paraId="05FF6C6F" w14:textId="3BE1BC24" w:rsidR="000414C3" w:rsidRPr="00584929" w:rsidRDefault="000414C3" w:rsidP="00231C68">
            <w:pPr>
              <w:ind w:left="798"/>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 xml:space="preserve">1a. </w:t>
            </w:r>
            <w:r w:rsidR="00231C68" w:rsidRPr="00584929">
              <w:rPr>
                <w:rFonts w:ascii="Times New Roman" w:eastAsia="Calibri" w:hAnsi="Times New Roman" w:cs="Times New Roman"/>
                <w:lang w:eastAsia="pl-PL"/>
              </w:rPr>
              <w:t>Przepisy art. 57 ust. 5, 6 i 7</w:t>
            </w:r>
            <w:r w:rsidRPr="00584929">
              <w:rPr>
                <w:rFonts w:ascii="Times New Roman" w:eastAsia="Calibri" w:hAnsi="Times New Roman" w:cs="Times New Roman"/>
                <w:lang w:eastAsia="pl-PL"/>
              </w:rPr>
              <w:t xml:space="preserve"> stosuje się odpowiednio do rej</w:t>
            </w:r>
            <w:r w:rsidR="005D7E93" w:rsidRPr="00584929">
              <w:rPr>
                <w:rFonts w:ascii="Times New Roman" w:eastAsia="Calibri" w:hAnsi="Times New Roman" w:cs="Times New Roman"/>
                <w:lang w:eastAsia="pl-PL"/>
              </w:rPr>
              <w:t>estru , o którym mowa w ust. 1.</w:t>
            </w:r>
          </w:p>
          <w:p w14:paraId="32EF9A6B" w14:textId="77777777" w:rsidR="000414C3" w:rsidRPr="00584929" w:rsidRDefault="000414C3" w:rsidP="00231C68">
            <w:pPr>
              <w:jc w:val="both"/>
              <w:rPr>
                <w:rFonts w:ascii="Times New Roman" w:hAnsi="Times New Roman" w:cs="Times New Roman"/>
              </w:rPr>
            </w:pPr>
            <w:r w:rsidRPr="00584929">
              <w:rPr>
                <w:rFonts w:ascii="Times New Roman" w:hAnsi="Times New Roman" w:cs="Times New Roman"/>
              </w:rPr>
              <w:t>Rozdział 11 „Przepisy przejściowe i  przepisy końcowe”</w:t>
            </w:r>
          </w:p>
          <w:p w14:paraId="2D03C846" w14:textId="77777777" w:rsidR="000414C3" w:rsidRPr="00584929" w:rsidRDefault="000414C3" w:rsidP="00231C68">
            <w:pPr>
              <w:jc w:val="both"/>
              <w:rPr>
                <w:rFonts w:ascii="Times New Roman" w:hAnsi="Times New Roman" w:cs="Times New Roman"/>
              </w:rPr>
            </w:pPr>
            <w:r w:rsidRPr="00584929">
              <w:rPr>
                <w:rFonts w:ascii="Times New Roman" w:hAnsi="Times New Roman" w:cs="Times New Roman"/>
              </w:rPr>
              <w:t xml:space="preserve">Art. XX. </w:t>
            </w:r>
          </w:p>
          <w:p w14:paraId="420243EC" w14:textId="009E9D3D" w:rsidR="000414C3" w:rsidRPr="00584929" w:rsidRDefault="000414C3" w:rsidP="00231C68">
            <w:pPr>
              <w:jc w:val="both"/>
              <w:rPr>
                <w:rFonts w:ascii="Times New Roman" w:hAnsi="Times New Roman" w:cs="Times New Roman"/>
              </w:rPr>
            </w:pPr>
            <w:r w:rsidRPr="00584929">
              <w:rPr>
                <w:rFonts w:ascii="Times New Roman" w:hAnsi="Times New Roman" w:cs="Times New Roman"/>
              </w:rPr>
              <w:t>Rejestry, o których mowa w art. 57 ust. 1, 2 i  3 oraz 67 ust. 1 ustawy zmienianej w art.</w:t>
            </w:r>
            <w:r w:rsidR="00231C68" w:rsidRPr="00584929">
              <w:rPr>
                <w:rFonts w:ascii="Times New Roman" w:hAnsi="Times New Roman" w:cs="Times New Roman"/>
              </w:rPr>
              <w:t> </w:t>
            </w:r>
            <w:r w:rsidRPr="00584929">
              <w:rPr>
                <w:rFonts w:ascii="Times New Roman" w:hAnsi="Times New Roman" w:cs="Times New Roman"/>
              </w:rPr>
              <w:t xml:space="preserve">X  w brzmieniu nadanym niniejszą ustawą, sporządzone w okresie od roku 2004 do 2020, podlegają przekazaniu w terminie do 14 </w:t>
            </w:r>
            <w:r w:rsidR="00231C68" w:rsidRPr="00584929">
              <w:rPr>
                <w:rFonts w:ascii="Times New Roman" w:hAnsi="Times New Roman" w:cs="Times New Roman"/>
              </w:rPr>
              <w:t xml:space="preserve">stycznia 2021. Art. 57 ust. 7 </w:t>
            </w:r>
            <w:r w:rsidRPr="00584929">
              <w:rPr>
                <w:rFonts w:ascii="Times New Roman" w:hAnsi="Times New Roman" w:cs="Times New Roman"/>
              </w:rPr>
              <w:t>1</w:t>
            </w:r>
            <w:r w:rsidR="006E2F83" w:rsidRPr="00584929">
              <w:rPr>
                <w:rFonts w:ascii="Times New Roman" w:hAnsi="Times New Roman" w:cs="Times New Roman"/>
              </w:rPr>
              <w:t xml:space="preserve">  ustawy zmienianej w  art. X w </w:t>
            </w:r>
            <w:r w:rsidRPr="00584929">
              <w:rPr>
                <w:rFonts w:ascii="Times New Roman" w:hAnsi="Times New Roman" w:cs="Times New Roman"/>
              </w:rPr>
              <w:t>brzmieniu nadanym niniejszą ustawą stosuje się odpowiednio.</w:t>
            </w:r>
          </w:p>
          <w:p w14:paraId="6BF4917E" w14:textId="77777777" w:rsidR="000414C3" w:rsidRPr="00584929" w:rsidRDefault="000414C3" w:rsidP="00231C68">
            <w:pPr>
              <w:jc w:val="both"/>
              <w:rPr>
                <w:rFonts w:ascii="Times New Roman" w:hAnsi="Times New Roman" w:cs="Times New Roman"/>
              </w:rPr>
            </w:pPr>
            <w:r w:rsidRPr="00584929">
              <w:rPr>
                <w:rFonts w:ascii="Times New Roman" w:hAnsi="Times New Roman" w:cs="Times New Roman"/>
              </w:rPr>
              <w:t>UZASADNIENIE</w:t>
            </w:r>
          </w:p>
          <w:p w14:paraId="207E8A08" w14:textId="7055BD07" w:rsidR="000414C3" w:rsidRPr="00584929" w:rsidRDefault="000414C3" w:rsidP="00231C68">
            <w:pPr>
              <w:jc w:val="both"/>
              <w:rPr>
                <w:rFonts w:ascii="Times New Roman" w:hAnsi="Times New Roman" w:cs="Times New Roman"/>
              </w:rPr>
            </w:pPr>
            <w:r w:rsidRPr="00584929">
              <w:rPr>
                <w:rFonts w:ascii="Times New Roman" w:hAnsi="Times New Roman" w:cs="Times New Roman"/>
              </w:rPr>
              <w:t>Celem przedłożonego przez Ministerstwo Cyfryzacji projektu ustawy jest zwiększenie podaży otwartych danych, w tym zasobów i</w:t>
            </w:r>
            <w:r w:rsidR="006E2F83" w:rsidRPr="00584929">
              <w:rPr>
                <w:rFonts w:ascii="Times New Roman" w:hAnsi="Times New Roman" w:cs="Times New Roman"/>
              </w:rPr>
              <w:t>nformacji o istotnej wartości i </w:t>
            </w:r>
            <w:r w:rsidRPr="00584929">
              <w:rPr>
                <w:rFonts w:ascii="Times New Roman" w:hAnsi="Times New Roman" w:cs="Times New Roman"/>
              </w:rPr>
              <w:t>potencjale do tworz</w:t>
            </w:r>
            <w:r w:rsidR="006E2F83" w:rsidRPr="00584929">
              <w:rPr>
                <w:rFonts w:ascii="Times New Roman" w:hAnsi="Times New Roman" w:cs="Times New Roman"/>
              </w:rPr>
              <w:t>enia nowych usługi produktów, a </w:t>
            </w:r>
            <w:r w:rsidRPr="00584929">
              <w:rPr>
                <w:rFonts w:ascii="Times New Roman" w:hAnsi="Times New Roman" w:cs="Times New Roman"/>
              </w:rPr>
              <w:t>także stworzenie optymalnego otoczenia regulacyjnego dla efektywnego wykorzystywania i</w:t>
            </w:r>
            <w:r w:rsidR="00231C68" w:rsidRPr="00584929">
              <w:rPr>
                <w:rFonts w:ascii="Times New Roman" w:hAnsi="Times New Roman" w:cs="Times New Roman"/>
              </w:rPr>
              <w:t>nformacji sektora publicznego w </w:t>
            </w:r>
            <w:r w:rsidRPr="00584929">
              <w:rPr>
                <w:rFonts w:ascii="Times New Roman" w:hAnsi="Times New Roman" w:cs="Times New Roman"/>
              </w:rPr>
              <w:t>Polsce (str. 1  uzasadnienia projektu). Dane przestrzenne są podstawową informacją dla inwestorów. Pozwalają chociażby na wybór odpowiedni</w:t>
            </w:r>
            <w:r w:rsidR="00231C68" w:rsidRPr="00584929">
              <w:rPr>
                <w:rFonts w:ascii="Times New Roman" w:hAnsi="Times New Roman" w:cs="Times New Roman"/>
              </w:rPr>
              <w:t>ej lokalizacji dla inwestycji o </w:t>
            </w:r>
            <w:r w:rsidRPr="00584929">
              <w:rPr>
                <w:rFonts w:ascii="Times New Roman" w:hAnsi="Times New Roman" w:cs="Times New Roman"/>
              </w:rPr>
              <w:t>zadanych parametrach. Praktyka procesu inwestycyjnego pokazuje, że paradoksalnie to nie miejscowe plany zag</w:t>
            </w:r>
            <w:r w:rsidR="006E2F83" w:rsidRPr="00584929">
              <w:rPr>
                <w:rFonts w:ascii="Times New Roman" w:hAnsi="Times New Roman" w:cs="Times New Roman"/>
              </w:rPr>
              <w:t>ospodarowania przestrzennego, a </w:t>
            </w:r>
            <w:r w:rsidRPr="00584929">
              <w:rPr>
                <w:rFonts w:ascii="Times New Roman" w:hAnsi="Times New Roman" w:cs="Times New Roman"/>
              </w:rPr>
              <w:t>decyzje o warunkach zabudowy i  zagospodarowania terenu stały się podstawowym instrumentem polityki planistycznej gmin. Według danych z badania statystycznego PZP-1 rocznie w Polsce wydaje się ponad 160 tys. takich dec</w:t>
            </w:r>
            <w:r w:rsidR="006E2F83" w:rsidRPr="00584929">
              <w:rPr>
                <w:rFonts w:ascii="Times New Roman" w:hAnsi="Times New Roman" w:cs="Times New Roman"/>
              </w:rPr>
              <w:t>yzji. Organy wydające decyzje o </w:t>
            </w:r>
            <w:r w:rsidRPr="00584929">
              <w:rPr>
                <w:rFonts w:ascii="Times New Roman" w:hAnsi="Times New Roman" w:cs="Times New Roman"/>
              </w:rPr>
              <w:t xml:space="preserve">warunkach zabudowy i  zagospodarowaniu terenu </w:t>
            </w:r>
            <w:r w:rsidRPr="00584929">
              <w:rPr>
                <w:rFonts w:ascii="Times New Roman" w:hAnsi="Times New Roman" w:cs="Times New Roman"/>
              </w:rPr>
              <w:lastRenderedPageBreak/>
              <w:t>zostały zobowiązane do sporządzania rejestru wydanych decyzji o ustaleniu lokalizacji inwestycji celu publicznego oraz rejestru wydanych decyzji o ustaleniu warunków zabudowy. Taki obowią</w:t>
            </w:r>
            <w:r w:rsidR="006E2F83" w:rsidRPr="00584929">
              <w:rPr>
                <w:rFonts w:ascii="Times New Roman" w:hAnsi="Times New Roman" w:cs="Times New Roman"/>
              </w:rPr>
              <w:t>zek istnieje od czasu wejścia w </w:t>
            </w:r>
            <w:r w:rsidRPr="00584929">
              <w:rPr>
                <w:rFonts w:ascii="Times New Roman" w:hAnsi="Times New Roman" w:cs="Times New Roman"/>
              </w:rPr>
              <w:t xml:space="preserve">życie ustawy o planowaniu i zagospodarowaniu przestrzennym. Do tej pory rejestry były gromadzone przez organy i były wykorzystywane wyłącznie przy ocenie aktualności </w:t>
            </w:r>
            <w:r w:rsidR="006E2F83" w:rsidRPr="00584929">
              <w:rPr>
                <w:rFonts w:ascii="Times New Roman" w:hAnsi="Times New Roman" w:cs="Times New Roman"/>
              </w:rPr>
              <w:t>studium i planów miejscowych, o </w:t>
            </w:r>
            <w:r w:rsidRPr="00584929">
              <w:rPr>
                <w:rFonts w:ascii="Times New Roman" w:hAnsi="Times New Roman" w:cs="Times New Roman"/>
              </w:rPr>
              <w:t>której mowa w art. 32 zmienianej ustawy.</w:t>
            </w:r>
          </w:p>
          <w:p w14:paraId="08BF6693" w14:textId="121C8B76" w:rsidR="000414C3" w:rsidRPr="00584929" w:rsidRDefault="000414C3" w:rsidP="00231C68">
            <w:pPr>
              <w:jc w:val="both"/>
              <w:rPr>
                <w:rFonts w:ascii="Times New Roman" w:hAnsi="Times New Roman" w:cs="Times New Roman"/>
              </w:rPr>
            </w:pPr>
            <w:r w:rsidRPr="00584929">
              <w:rPr>
                <w:rFonts w:ascii="Times New Roman" w:hAnsi="Times New Roman" w:cs="Times New Roman"/>
              </w:rPr>
              <w:t>Innymi słowy informacje o  wydanych „wztkach” zgromadzone są w  2477 bazach danych w Polsce, w wielu przypadkach prowadzonych analogowo. Taki stan rzeczy niewątpliwie utrudnia wszystkim podmiotom: prywatnym, naukowym czy administracji centralnej dostęp do tych informacji, a tym samym ich wykorzystanie. Proponowane rozwiązanie nakłada na gminy obowiązek przekazywania informacji o wydanych decyzja</w:t>
            </w:r>
            <w:r w:rsidR="00231C68" w:rsidRPr="00584929">
              <w:rPr>
                <w:rFonts w:ascii="Times New Roman" w:hAnsi="Times New Roman" w:cs="Times New Roman"/>
              </w:rPr>
              <w:t>ch o </w:t>
            </w:r>
            <w:r w:rsidRPr="00584929">
              <w:rPr>
                <w:rFonts w:ascii="Times New Roman" w:hAnsi="Times New Roman" w:cs="Times New Roman"/>
              </w:rPr>
              <w:t>warunkach zabudowy i zagospodarowania terenu dwa razy do roku do ministra właściwego ds. budownictw</w:t>
            </w:r>
            <w:r w:rsidR="006E2F83" w:rsidRPr="00584929">
              <w:rPr>
                <w:rFonts w:ascii="Times New Roman" w:hAnsi="Times New Roman" w:cs="Times New Roman"/>
              </w:rPr>
              <w:t>a, planowania przestrzennego i  </w:t>
            </w:r>
            <w:r w:rsidRPr="00584929">
              <w:rPr>
                <w:rFonts w:ascii="Times New Roman" w:hAnsi="Times New Roman" w:cs="Times New Roman"/>
              </w:rPr>
              <w:t>mieszkalnictwa. Minister będzie mógł te dane udostępnić zarówno w formie graficznej, poprzez Geoportal prowadzony przez podległego mu Głównego Geodetę Kraju, jak i  w formie tabelarycznej w aktualnie tworzonym i dedykowanym cyfryzacji planowania przestrzennego, serwisie w ramach platformy GOV.PL. Wprowadzenie przepisu szczególnego przewidującego przekazywanie rejestrów co pół roku ma na celu wykorzystanie tych danych przez ministra właściwego ds. budownictwa, pl</w:t>
            </w:r>
            <w:r w:rsidR="006E2F83" w:rsidRPr="00584929">
              <w:rPr>
                <w:rFonts w:ascii="Times New Roman" w:hAnsi="Times New Roman" w:cs="Times New Roman"/>
              </w:rPr>
              <w:t>anowania przestrzennego i </w:t>
            </w:r>
            <w:r w:rsidRPr="00584929">
              <w:rPr>
                <w:rFonts w:ascii="Times New Roman" w:hAnsi="Times New Roman" w:cs="Times New Roman"/>
              </w:rPr>
              <w:t>mieszkalnictwa d</w:t>
            </w:r>
            <w:r w:rsidR="006E2F83" w:rsidRPr="00584929">
              <w:rPr>
                <w:rFonts w:ascii="Times New Roman" w:hAnsi="Times New Roman" w:cs="Times New Roman"/>
              </w:rPr>
              <w:t>o bieżącego monitoringu zmian w </w:t>
            </w:r>
            <w:r w:rsidRPr="00584929">
              <w:rPr>
                <w:rFonts w:ascii="Times New Roman" w:hAnsi="Times New Roman" w:cs="Times New Roman"/>
              </w:rPr>
              <w:t xml:space="preserve">zagospodarowaniu przestrzeni kraju i wpływie instrumentu, jakim są </w:t>
            </w:r>
            <w:r w:rsidR="006E2F83" w:rsidRPr="00584929">
              <w:rPr>
                <w:rFonts w:ascii="Times New Roman" w:hAnsi="Times New Roman" w:cs="Times New Roman"/>
              </w:rPr>
              <w:t>decyzje o warunkach zabudowy i  </w:t>
            </w:r>
            <w:r w:rsidRPr="00584929">
              <w:rPr>
                <w:rFonts w:ascii="Times New Roman" w:hAnsi="Times New Roman" w:cs="Times New Roman"/>
              </w:rPr>
              <w:t xml:space="preserve">zagospodarowaniu terenu, na ład przestrzenny. Wydaje się, że dostęp do takich informacji jest nieodzowny do </w:t>
            </w:r>
            <w:r w:rsidRPr="00584929">
              <w:rPr>
                <w:rFonts w:ascii="Times New Roman" w:hAnsi="Times New Roman" w:cs="Times New Roman"/>
              </w:rPr>
              <w:lastRenderedPageBreak/>
              <w:t>prawidłowego przygotowywania regulacji z zakresu planowania przestrzennego. Powstanie obowiązku przekazania rejestrów wydanych decyzji nie wi</w:t>
            </w:r>
            <w:r w:rsidR="00231C68" w:rsidRPr="00584929">
              <w:rPr>
                <w:rFonts w:ascii="Times New Roman" w:hAnsi="Times New Roman" w:cs="Times New Roman"/>
              </w:rPr>
              <w:t>ąże się z </w:t>
            </w:r>
            <w:r w:rsidRPr="00584929">
              <w:rPr>
                <w:rFonts w:ascii="Times New Roman" w:hAnsi="Times New Roman" w:cs="Times New Roman"/>
              </w:rPr>
              <w:t>powstaniem nowych obowiązków dla organów administracji samorządowej. Rejestry winny być prowadzon</w:t>
            </w:r>
            <w:r w:rsidR="00E762ED" w:rsidRPr="00584929">
              <w:rPr>
                <w:rFonts w:ascii="Times New Roman" w:hAnsi="Times New Roman" w:cs="Times New Roman"/>
              </w:rPr>
              <w:t xml:space="preserve">e na bieżąco, przez co jedynym </w:t>
            </w:r>
            <w:r w:rsidRPr="00584929">
              <w:rPr>
                <w:rFonts w:ascii="Times New Roman" w:hAnsi="Times New Roman" w:cs="Times New Roman"/>
              </w:rPr>
              <w:t>nowym wymogiem jest przekazanie ich drogą elektroniczną do właściwego ministra.</w:t>
            </w:r>
          </w:p>
        </w:tc>
        <w:tc>
          <w:tcPr>
            <w:tcW w:w="4785" w:type="dxa"/>
            <w:shd w:val="clear" w:color="auto" w:fill="auto"/>
          </w:tcPr>
          <w:p w14:paraId="31CEC67B" w14:textId="75C12D0F" w:rsidR="000414C3" w:rsidRPr="00584929" w:rsidRDefault="00BE4436" w:rsidP="004A29FC">
            <w:pPr>
              <w:rPr>
                <w:rFonts w:ascii="Times New Roman" w:hAnsi="Times New Roman" w:cs="Times New Roman"/>
                <w:b/>
              </w:rPr>
            </w:pPr>
            <w:r w:rsidRPr="00584929">
              <w:rPr>
                <w:rFonts w:ascii="Times New Roman" w:hAnsi="Times New Roman" w:cs="Times New Roman"/>
                <w:b/>
              </w:rPr>
              <w:lastRenderedPageBreak/>
              <w:t xml:space="preserve">Uwaga wycofana </w:t>
            </w:r>
          </w:p>
        </w:tc>
      </w:tr>
      <w:tr w:rsidR="004873A1" w:rsidRPr="00584929" w14:paraId="5B5823F2" w14:textId="77777777" w:rsidTr="00D94ED7">
        <w:tc>
          <w:tcPr>
            <w:tcW w:w="676" w:type="dxa"/>
            <w:shd w:val="clear" w:color="auto" w:fill="auto"/>
          </w:tcPr>
          <w:p w14:paraId="7511D833"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48A01E3A" w14:textId="73347864" w:rsidR="004873A1" w:rsidRPr="00584929" w:rsidRDefault="00521864"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41B48118" w14:textId="62C16100" w:rsidR="004873A1" w:rsidRPr="00584929" w:rsidRDefault="00521864" w:rsidP="004A29FC">
            <w:pPr>
              <w:rPr>
                <w:rFonts w:ascii="Times New Roman" w:hAnsi="Times New Roman" w:cs="Times New Roman"/>
              </w:rPr>
            </w:pPr>
            <w:r w:rsidRPr="00584929">
              <w:rPr>
                <w:rFonts w:ascii="Times New Roman" w:hAnsi="Times New Roman" w:cs="Times New Roman"/>
              </w:rPr>
              <w:t>Art. 47</w:t>
            </w:r>
          </w:p>
        </w:tc>
        <w:tc>
          <w:tcPr>
            <w:tcW w:w="5323" w:type="dxa"/>
            <w:shd w:val="clear" w:color="auto" w:fill="auto"/>
          </w:tcPr>
          <w:p w14:paraId="33971033" w14:textId="77777777" w:rsidR="001E1EEB" w:rsidRPr="00584929" w:rsidRDefault="00521864" w:rsidP="00164826">
            <w:pPr>
              <w:jc w:val="both"/>
              <w:rPr>
                <w:rFonts w:ascii="Times New Roman" w:hAnsi="Times New Roman" w:cs="Times New Roman"/>
              </w:rPr>
            </w:pPr>
            <w:r w:rsidRPr="00584929">
              <w:rPr>
                <w:rFonts w:ascii="Times New Roman" w:hAnsi="Times New Roman" w:cs="Times New Roman"/>
              </w:rPr>
              <w:t>W zakresie przepisów zmieniających:</w:t>
            </w:r>
          </w:p>
          <w:p w14:paraId="44C95062" w14:textId="71A9DD14" w:rsidR="00521864" w:rsidRPr="00584929" w:rsidRDefault="00521864" w:rsidP="00164826">
            <w:pPr>
              <w:jc w:val="both"/>
              <w:rPr>
                <w:rFonts w:ascii="Times New Roman" w:hAnsi="Times New Roman" w:cs="Times New Roman"/>
              </w:rPr>
            </w:pPr>
            <w:r w:rsidRPr="00584929">
              <w:rPr>
                <w:rFonts w:ascii="Times New Roman" w:hAnsi="Times New Roman" w:cs="Times New Roman"/>
              </w:rPr>
              <w:t>Ponadto Rządowe Centrum Legislacji zauważa, że zmia</w:t>
            </w:r>
            <w:r w:rsidR="00164826" w:rsidRPr="00584929">
              <w:rPr>
                <w:rFonts w:ascii="Times New Roman" w:hAnsi="Times New Roman" w:cs="Times New Roman"/>
              </w:rPr>
              <w:t>ny dokonane w ustawie z dnia 20 </w:t>
            </w:r>
            <w:r w:rsidR="00132B8A" w:rsidRPr="00584929">
              <w:rPr>
                <w:rFonts w:ascii="Times New Roman" w:hAnsi="Times New Roman" w:cs="Times New Roman"/>
              </w:rPr>
              <w:t>czerwca 1997 r.  – Prawo o </w:t>
            </w:r>
            <w:r w:rsidRPr="00584929">
              <w:rPr>
                <w:rFonts w:ascii="Times New Roman" w:hAnsi="Times New Roman" w:cs="Times New Roman"/>
              </w:rPr>
              <w:t>ruchu drogowym spowodują pośrednią zmianę upoważnień ustawowych z art. 80cf tej ustawy, co spowoduje konieczność wydania  przepisów wykonawczych na tej podstawie, które utracą moc obowiązującą zgodnie z § 32 ust. 2 ZTP.</w:t>
            </w:r>
          </w:p>
        </w:tc>
        <w:tc>
          <w:tcPr>
            <w:tcW w:w="4785" w:type="dxa"/>
            <w:shd w:val="clear" w:color="auto" w:fill="auto"/>
          </w:tcPr>
          <w:p w14:paraId="29336671" w14:textId="6EE77C09" w:rsidR="004873A1" w:rsidRPr="00584929" w:rsidRDefault="00521864" w:rsidP="00A0024B">
            <w:pPr>
              <w:rPr>
                <w:rFonts w:ascii="Times New Roman" w:hAnsi="Times New Roman" w:cs="Times New Roman"/>
                <w:b/>
              </w:rPr>
            </w:pPr>
            <w:r w:rsidRPr="00584929">
              <w:rPr>
                <w:rFonts w:ascii="Times New Roman" w:hAnsi="Times New Roman" w:cs="Times New Roman"/>
                <w:b/>
              </w:rPr>
              <w:t xml:space="preserve">Uwaga </w:t>
            </w:r>
            <w:r w:rsidR="000F6A16" w:rsidRPr="00584929">
              <w:rPr>
                <w:rFonts w:ascii="Times New Roman" w:hAnsi="Times New Roman" w:cs="Times New Roman"/>
                <w:b/>
              </w:rPr>
              <w:t xml:space="preserve">wyjaśniona </w:t>
            </w:r>
          </w:p>
          <w:p w14:paraId="75499509" w14:textId="77777777" w:rsidR="00A0024B" w:rsidRPr="00584929" w:rsidRDefault="00A0024B" w:rsidP="000F6A16">
            <w:pPr>
              <w:jc w:val="both"/>
              <w:rPr>
                <w:rFonts w:ascii="Times New Roman" w:hAnsi="Times New Roman" w:cs="Times New Roman"/>
              </w:rPr>
            </w:pPr>
            <w:r w:rsidRPr="00584929">
              <w:rPr>
                <w:rFonts w:ascii="Times New Roman" w:hAnsi="Times New Roman" w:cs="Times New Roman"/>
              </w:rPr>
              <w:t>Wprowadz</w:t>
            </w:r>
            <w:r w:rsidR="000F6A16" w:rsidRPr="00584929">
              <w:rPr>
                <w:rFonts w:ascii="Times New Roman" w:hAnsi="Times New Roman" w:cs="Times New Roman"/>
              </w:rPr>
              <w:t xml:space="preserve">ony zostanie utrzymujący w mocy wskazane w uwadze akty wykonawcze. </w:t>
            </w:r>
          </w:p>
          <w:p w14:paraId="7A1D9132" w14:textId="71E2C243" w:rsidR="000F6A16" w:rsidRPr="00584929" w:rsidRDefault="000F6A16" w:rsidP="000F6A16">
            <w:pPr>
              <w:jc w:val="both"/>
              <w:rPr>
                <w:rFonts w:ascii="Times New Roman" w:hAnsi="Times New Roman" w:cs="Times New Roman"/>
              </w:rPr>
            </w:pPr>
            <w:r w:rsidRPr="00584929">
              <w:rPr>
                <w:rFonts w:ascii="Times New Roman" w:hAnsi="Times New Roman" w:cs="Times New Roman"/>
              </w:rPr>
              <w:t>Przepis zostanie również poddany dodatkowej analizie w ramach rozpatrzenia projektu ustawy przez Komisję prawniczą.</w:t>
            </w:r>
          </w:p>
        </w:tc>
      </w:tr>
      <w:tr w:rsidR="004873A1" w:rsidRPr="00584929" w14:paraId="6D67FF86" w14:textId="77777777" w:rsidTr="00D94ED7">
        <w:tc>
          <w:tcPr>
            <w:tcW w:w="676" w:type="dxa"/>
            <w:shd w:val="clear" w:color="auto" w:fill="auto"/>
          </w:tcPr>
          <w:p w14:paraId="117B5523"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437DDEBB" w14:textId="60B79E03" w:rsidR="004873A1" w:rsidRPr="00584929" w:rsidRDefault="00521864"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4ED67C8E" w14:textId="6F34FD89" w:rsidR="004873A1" w:rsidRPr="00584929" w:rsidRDefault="00521864" w:rsidP="004A29FC">
            <w:pPr>
              <w:rPr>
                <w:rFonts w:ascii="Times New Roman" w:hAnsi="Times New Roman" w:cs="Times New Roman"/>
              </w:rPr>
            </w:pPr>
            <w:r w:rsidRPr="00584929">
              <w:rPr>
                <w:rFonts w:ascii="Times New Roman" w:hAnsi="Times New Roman" w:cs="Times New Roman"/>
              </w:rPr>
              <w:t>Art. 48</w:t>
            </w:r>
          </w:p>
        </w:tc>
        <w:tc>
          <w:tcPr>
            <w:tcW w:w="5323" w:type="dxa"/>
            <w:shd w:val="clear" w:color="auto" w:fill="auto"/>
          </w:tcPr>
          <w:p w14:paraId="15753E83" w14:textId="618FC772" w:rsidR="00521864" w:rsidRPr="00584929" w:rsidRDefault="00521864" w:rsidP="00164826">
            <w:pPr>
              <w:jc w:val="both"/>
              <w:rPr>
                <w:rFonts w:ascii="Times New Roman" w:hAnsi="Times New Roman" w:cs="Times New Roman"/>
              </w:rPr>
            </w:pPr>
            <w:r w:rsidRPr="00584929">
              <w:rPr>
                <w:rFonts w:ascii="Times New Roman" w:hAnsi="Times New Roman" w:cs="Times New Roman"/>
              </w:rPr>
              <w:t>Należy zauważyć, że projekt bazując na dotychczasowej regulacji ustawy z dnia 25 lutego 2016 r. o ponownym wykorzystywaniu informacji sektora publicznego (Dz. U. z 201</w:t>
            </w:r>
            <w:r w:rsidR="00164826" w:rsidRPr="00584929">
              <w:rPr>
                <w:rFonts w:ascii="Times New Roman" w:hAnsi="Times New Roman" w:cs="Times New Roman"/>
              </w:rPr>
              <w:t xml:space="preserve">9 </w:t>
            </w:r>
            <w:r w:rsidRPr="00584929">
              <w:rPr>
                <w:rFonts w:ascii="Times New Roman" w:hAnsi="Times New Roman" w:cs="Times New Roman"/>
              </w:rPr>
              <w:t>r. poz. 1446), dalej „ustawa”, zawiera pozytywną regulację szczególną dotyczącą  ponownego wykorzystania informacji o podmiotach wpisanych do Krajowego Rejestru</w:t>
            </w:r>
            <w:r w:rsidR="006426E7" w:rsidRPr="00584929">
              <w:rPr>
                <w:rFonts w:ascii="Times New Roman" w:hAnsi="Times New Roman" w:cs="Times New Roman"/>
              </w:rPr>
              <w:t xml:space="preserve"> Sądowego. Zmiany wprowadzone w </w:t>
            </w:r>
            <w:r w:rsidRPr="00584929">
              <w:rPr>
                <w:rFonts w:ascii="Times New Roman" w:hAnsi="Times New Roman" w:cs="Times New Roman"/>
              </w:rPr>
              <w:t>tym zakresie w art. 48</w:t>
            </w:r>
            <w:r w:rsidR="006426E7" w:rsidRPr="00584929">
              <w:rPr>
                <w:rFonts w:ascii="Times New Roman" w:hAnsi="Times New Roman" w:cs="Times New Roman"/>
              </w:rPr>
              <w:t xml:space="preserve"> projektu (nowelizacja ustawy o </w:t>
            </w:r>
            <w:r w:rsidRPr="00584929">
              <w:rPr>
                <w:rFonts w:ascii="Times New Roman" w:hAnsi="Times New Roman" w:cs="Times New Roman"/>
              </w:rPr>
              <w:t>KRS) zmieniają dotychczasowe podejście do ponownego wykorz</w:t>
            </w:r>
            <w:r w:rsidR="006426E7" w:rsidRPr="00584929">
              <w:rPr>
                <w:rFonts w:ascii="Times New Roman" w:hAnsi="Times New Roman" w:cs="Times New Roman"/>
              </w:rPr>
              <w:t>ystywania danych pochodzących z </w:t>
            </w:r>
            <w:r w:rsidRPr="00584929">
              <w:rPr>
                <w:rFonts w:ascii="Times New Roman" w:hAnsi="Times New Roman" w:cs="Times New Roman"/>
              </w:rPr>
              <w:t>rejestrów sądowych. Pod rządami</w:t>
            </w:r>
            <w:r w:rsidR="006426E7" w:rsidRPr="00584929">
              <w:rPr>
                <w:rFonts w:ascii="Times New Roman" w:hAnsi="Times New Roman" w:cs="Times New Roman"/>
              </w:rPr>
              <w:t xml:space="preserve"> ustawy uchylanej w </w:t>
            </w:r>
            <w:r w:rsidRPr="00584929">
              <w:rPr>
                <w:rFonts w:ascii="Times New Roman" w:hAnsi="Times New Roman" w:cs="Times New Roman"/>
              </w:rPr>
              <w:t>art. 56 projektu żaden z rejestrów sądowych nie miał pozytywnych zapisów regulujących materię ponownego wykorzystania danych i informacji z tych rejestrów. Zgodnie z art. 6 ust. 3 zdanie 1. ustawy „prawo do ponownego wykorzy</w:t>
            </w:r>
            <w:r w:rsidR="00164826" w:rsidRPr="00584929">
              <w:rPr>
                <w:rFonts w:ascii="Times New Roman" w:hAnsi="Times New Roman" w:cs="Times New Roman"/>
              </w:rPr>
              <w:t>stywania podlega ograniczeniu w </w:t>
            </w:r>
            <w:r w:rsidRPr="00584929">
              <w:rPr>
                <w:rFonts w:ascii="Times New Roman" w:hAnsi="Times New Roman" w:cs="Times New Roman"/>
              </w:rPr>
              <w:t xml:space="preserve">zakresie informacji będących informacjami sektora publicznego, do których dostęp jest ograniczony na podstawie innych ustaw.” Zmieniany projektowaną </w:t>
            </w:r>
            <w:r w:rsidRPr="00584929">
              <w:rPr>
                <w:rFonts w:ascii="Times New Roman" w:hAnsi="Times New Roman" w:cs="Times New Roman"/>
              </w:rPr>
              <w:lastRenderedPageBreak/>
              <w:t>regulacją stan pr</w:t>
            </w:r>
            <w:r w:rsidR="005D7E93" w:rsidRPr="00584929">
              <w:rPr>
                <w:rFonts w:ascii="Times New Roman" w:hAnsi="Times New Roman" w:cs="Times New Roman"/>
              </w:rPr>
              <w:t xml:space="preserve">awny wskazuje, w szczególności </w:t>
            </w:r>
            <w:r w:rsidR="006426E7" w:rsidRPr="00584929">
              <w:rPr>
                <w:rFonts w:ascii="Times New Roman" w:hAnsi="Times New Roman" w:cs="Times New Roman"/>
              </w:rPr>
              <w:t>w </w:t>
            </w:r>
            <w:r w:rsidRPr="00584929">
              <w:rPr>
                <w:rFonts w:ascii="Times New Roman" w:hAnsi="Times New Roman" w:cs="Times New Roman"/>
              </w:rPr>
              <w:t>zapisie dodawanego art. 4b</w:t>
            </w:r>
            <w:r w:rsidR="00164826" w:rsidRPr="00584929">
              <w:rPr>
                <w:rFonts w:ascii="Times New Roman" w:hAnsi="Times New Roman" w:cs="Times New Roman"/>
              </w:rPr>
              <w:t xml:space="preserve"> ust. 1 ustawy o KRS, że dane i </w:t>
            </w:r>
            <w:r w:rsidRPr="00584929">
              <w:rPr>
                <w:rFonts w:ascii="Times New Roman" w:hAnsi="Times New Roman" w:cs="Times New Roman"/>
              </w:rPr>
              <w:t>informacje o podmiotach wpisanych do Krajowego Rejestru Sądowego są przekazywane do ponownego wykorzystania z zachowaniem przepisów projektu. Wywołuje to taki skutek, iż nie można już powoływać się na wyłączenie przewidziane obecnie w art. 6 ust. 3 us</w:t>
            </w:r>
            <w:r w:rsidR="00A57AB5" w:rsidRPr="00584929">
              <w:rPr>
                <w:rFonts w:ascii="Times New Roman" w:hAnsi="Times New Roman" w:cs="Times New Roman"/>
              </w:rPr>
              <w:t xml:space="preserve">tawy (zachowanego, co do zasady </w:t>
            </w:r>
            <w:r w:rsidRPr="00584929">
              <w:rPr>
                <w:rFonts w:ascii="Times New Roman" w:hAnsi="Times New Roman" w:cs="Times New Roman"/>
              </w:rPr>
              <w:t>w art. 9 ust. 3 projektu). Powoduje to nieoc</w:t>
            </w:r>
            <w:r w:rsidR="006426E7" w:rsidRPr="00584929">
              <w:rPr>
                <w:rFonts w:ascii="Times New Roman" w:hAnsi="Times New Roman" w:cs="Times New Roman"/>
              </w:rPr>
              <w:t>zekiwany i niepożądany efekt, w </w:t>
            </w:r>
            <w:r w:rsidRPr="00584929">
              <w:rPr>
                <w:rFonts w:ascii="Times New Roman" w:hAnsi="Times New Roman" w:cs="Times New Roman"/>
              </w:rPr>
              <w:t xml:space="preserve">którym całość danych ze wszystkich rejestrów sądowych podlega zapisom </w:t>
            </w:r>
            <w:r w:rsidR="00A57AB5" w:rsidRPr="00584929">
              <w:rPr>
                <w:rFonts w:ascii="Times New Roman" w:hAnsi="Times New Roman" w:cs="Times New Roman"/>
              </w:rPr>
              <w:t xml:space="preserve">projektu w zakresie otwartości  </w:t>
            </w:r>
            <w:r w:rsidRPr="00584929">
              <w:rPr>
                <w:rFonts w:ascii="Times New Roman" w:hAnsi="Times New Roman" w:cs="Times New Roman"/>
              </w:rPr>
              <w:t>i ponownego wykorzystania. W świetle wskazanych okoliczności należy pod rozwagę ponownie poddać zamieszczanie w projektowanym art. 4b ust. 1 ustawy o KRS stwie</w:t>
            </w:r>
            <w:r w:rsidR="00164826" w:rsidRPr="00584929">
              <w:rPr>
                <w:rFonts w:ascii="Times New Roman" w:hAnsi="Times New Roman" w:cs="Times New Roman"/>
              </w:rPr>
              <w:t>rdzenia, iż dane i informacje o </w:t>
            </w:r>
            <w:r w:rsidRPr="00584929">
              <w:rPr>
                <w:rFonts w:ascii="Times New Roman" w:hAnsi="Times New Roman" w:cs="Times New Roman"/>
              </w:rPr>
              <w:t>podmiotach wpisanych do KRS są przekazywa</w:t>
            </w:r>
            <w:r w:rsidR="00164826" w:rsidRPr="00584929">
              <w:rPr>
                <w:rFonts w:ascii="Times New Roman" w:hAnsi="Times New Roman" w:cs="Times New Roman"/>
              </w:rPr>
              <w:t>ne do ponownego wykorzystania z </w:t>
            </w:r>
            <w:r w:rsidRPr="00584929">
              <w:rPr>
                <w:rFonts w:ascii="Times New Roman" w:hAnsi="Times New Roman" w:cs="Times New Roman"/>
              </w:rPr>
              <w:t>zachowaniem przepisów projektu. Wskazany przepis jest tym bardziej wątpliwy, iż dalsze ustępy dodawanego art. 4b ustawy o KRS wprowadzają szczegółowe zasady udostępniania danych dla potrzeb ponownego wykorzystan</w:t>
            </w:r>
            <w:r w:rsidR="006426E7" w:rsidRPr="00584929">
              <w:rPr>
                <w:rFonts w:ascii="Times New Roman" w:hAnsi="Times New Roman" w:cs="Times New Roman"/>
              </w:rPr>
              <w:t>ia wprowadzając lex specialis w </w:t>
            </w:r>
            <w:r w:rsidRPr="00584929">
              <w:rPr>
                <w:rFonts w:ascii="Times New Roman" w:hAnsi="Times New Roman" w:cs="Times New Roman"/>
              </w:rPr>
              <w:t xml:space="preserve">odniesieniu do regulacji projektu. Zauważyć należy, że cały projekt nie był wcześniej przedstawiany, a w jego kontekście projektowany </w:t>
            </w:r>
            <w:r w:rsidR="006426E7" w:rsidRPr="00584929">
              <w:rPr>
                <w:rFonts w:ascii="Times New Roman" w:hAnsi="Times New Roman" w:cs="Times New Roman"/>
              </w:rPr>
              <w:t>przepis art. 4b ust. 1 ustawy o </w:t>
            </w:r>
            <w:r w:rsidRPr="00584929">
              <w:rPr>
                <w:rFonts w:ascii="Times New Roman" w:hAnsi="Times New Roman" w:cs="Times New Roman"/>
              </w:rPr>
              <w:t>KRS znacząco wpływa na dotychczasowe rozumienie zakresu proje</w:t>
            </w:r>
            <w:r w:rsidR="00164826" w:rsidRPr="00584929">
              <w:rPr>
                <w:rFonts w:ascii="Times New Roman" w:hAnsi="Times New Roman" w:cs="Times New Roman"/>
              </w:rPr>
              <w:t>ktowanej ustawy w </w:t>
            </w:r>
            <w:r w:rsidRPr="00584929">
              <w:rPr>
                <w:rFonts w:ascii="Times New Roman" w:hAnsi="Times New Roman" w:cs="Times New Roman"/>
              </w:rPr>
              <w:t xml:space="preserve">kontekście szczegółowych przepisów regulujących </w:t>
            </w:r>
            <w:r w:rsidR="00164826" w:rsidRPr="00584929">
              <w:rPr>
                <w:rFonts w:ascii="Times New Roman" w:hAnsi="Times New Roman" w:cs="Times New Roman"/>
              </w:rPr>
              <w:t>dostęp do danych gromadzonych w </w:t>
            </w:r>
            <w:r w:rsidRPr="00584929">
              <w:rPr>
                <w:rFonts w:ascii="Times New Roman" w:hAnsi="Times New Roman" w:cs="Times New Roman"/>
              </w:rPr>
              <w:t xml:space="preserve">rejestrach sądowych. Przedstawiając powyższe wątpliwości należy mieć na uwadze, iż ich celem nie jest uniemożliwienie realizacji zamierzeń projektu w zakresie otwartości danych i ich ponownego wykluczania, lecz umożliwienie </w:t>
            </w:r>
            <w:r w:rsidR="00A57AB5" w:rsidRPr="00584929">
              <w:rPr>
                <w:rFonts w:ascii="Times New Roman" w:hAnsi="Times New Roman" w:cs="Times New Roman"/>
              </w:rPr>
              <w:t xml:space="preserve">harmonijnego, realnie </w:t>
            </w:r>
            <w:r w:rsidR="00A57AB5" w:rsidRPr="00584929">
              <w:rPr>
                <w:rFonts w:ascii="Times New Roman" w:hAnsi="Times New Roman" w:cs="Times New Roman"/>
              </w:rPr>
              <w:lastRenderedPageBreak/>
              <w:t xml:space="preserve">możliwego </w:t>
            </w:r>
            <w:r w:rsidRPr="00584929">
              <w:rPr>
                <w:rFonts w:ascii="Times New Roman" w:hAnsi="Times New Roman" w:cs="Times New Roman"/>
              </w:rPr>
              <w:t xml:space="preserve">z technicznego punktu widzenia poszerzenia dostępu </w:t>
            </w:r>
            <w:r w:rsidR="00A57AB5" w:rsidRPr="00584929">
              <w:rPr>
                <w:rFonts w:ascii="Times New Roman" w:hAnsi="Times New Roman" w:cs="Times New Roman"/>
              </w:rPr>
              <w:t xml:space="preserve">do danych z rejestrów sądowych. </w:t>
            </w:r>
            <w:r w:rsidRPr="00584929">
              <w:rPr>
                <w:rFonts w:ascii="Times New Roman" w:hAnsi="Times New Roman" w:cs="Times New Roman"/>
              </w:rPr>
              <w:t>Niezależnie od powyższeg</w:t>
            </w:r>
            <w:r w:rsidR="006426E7" w:rsidRPr="00584929">
              <w:rPr>
                <w:rFonts w:ascii="Times New Roman" w:hAnsi="Times New Roman" w:cs="Times New Roman"/>
              </w:rPr>
              <w:t>o należy zauważyć, iż zgodnie z </w:t>
            </w:r>
            <w:r w:rsidRPr="00584929">
              <w:rPr>
                <w:rFonts w:ascii="Times New Roman" w:hAnsi="Times New Roman" w:cs="Times New Roman"/>
              </w:rPr>
              <w:t>projektowanym art. 4b ust. 2 zdanie drugie ustawy o KRS dane zgromadzone w Rejestrze udostępnia się do ponownego wykorzystywania także za pośrednictwem usług sieciowych. W treści projektu ustawy o otwartych danych i ponownym wykorzystywaniu informacji sektora publicznego, jak również w odwróconej tabeli zgodności, tego rodzaju usługa sieciowa jest definiowana oraz wielokrotnie określana zwrotem „za pośrednictwem interfejsu pr</w:t>
            </w:r>
            <w:r w:rsidR="006426E7" w:rsidRPr="00584929">
              <w:rPr>
                <w:rFonts w:ascii="Times New Roman" w:hAnsi="Times New Roman" w:cs="Times New Roman"/>
              </w:rPr>
              <w:t>ogramowania aplikacji (API)”. W </w:t>
            </w:r>
            <w:r w:rsidRPr="00584929">
              <w:rPr>
                <w:rFonts w:ascii="Times New Roman" w:hAnsi="Times New Roman" w:cs="Times New Roman"/>
              </w:rPr>
              <w:t>uzasadnieniu do art. 48 projektu ustawy wskazano, że: „Projekt dokonuje nowelizacji ustawy z dnia 20 sierpnia 1997 r. o Krajowym Rejestrze Sądowym (Dz. U. z 2019 r. poz. 1500 i 1798) w zakresie zmian dotyczących wprowadzenia w przedmiotowej ustawie przepis</w:t>
            </w:r>
            <w:r w:rsidR="00164826" w:rsidRPr="00584929">
              <w:rPr>
                <w:rFonts w:ascii="Times New Roman" w:hAnsi="Times New Roman" w:cs="Times New Roman"/>
              </w:rPr>
              <w:t>ów regulujących udostępnianie i </w:t>
            </w:r>
            <w:r w:rsidRPr="00584929">
              <w:rPr>
                <w:rFonts w:ascii="Times New Roman" w:hAnsi="Times New Roman" w:cs="Times New Roman"/>
              </w:rPr>
              <w:t>przekazywanie do ponownego wykorzy</w:t>
            </w:r>
            <w:r w:rsidR="006426E7" w:rsidRPr="00584929">
              <w:rPr>
                <w:rFonts w:ascii="Times New Roman" w:hAnsi="Times New Roman" w:cs="Times New Roman"/>
              </w:rPr>
              <w:t>stywania danych zgromadzanych w </w:t>
            </w:r>
            <w:r w:rsidRPr="00584929">
              <w:rPr>
                <w:rFonts w:ascii="Times New Roman" w:hAnsi="Times New Roman" w:cs="Times New Roman"/>
              </w:rPr>
              <w:t xml:space="preserve">Krajowym Rejestrze Sądowym za pośrednictwem interfejsu programowania aplikacji (API) poprzez dodanie po art. 4a przedmiotowej ustawy art. 4b. Jest to niezbędne z uwagi na uznanie danych zgromadzonych w rejestrze za dane o wysokiej wartości, zgodnie z załącznikiem nr 1 do dyrektywy 2019/1024.”. Skoro więc zarówno w projekcie ustawy, jak i w </w:t>
            </w:r>
            <w:r w:rsidR="006426E7" w:rsidRPr="00584929">
              <w:rPr>
                <w:rFonts w:ascii="Times New Roman" w:hAnsi="Times New Roman" w:cs="Times New Roman"/>
              </w:rPr>
              <w:t>innych dokumentach związanych z </w:t>
            </w:r>
            <w:r w:rsidRPr="00584929">
              <w:rPr>
                <w:rFonts w:ascii="Times New Roman" w:hAnsi="Times New Roman" w:cs="Times New Roman"/>
              </w:rPr>
              <w:t>prowadzonym procesem legislacyjnym, pojawia się definicja usługi sieciowej, zasadne byłoby użycie tej samej nome</w:t>
            </w:r>
            <w:r w:rsidR="00164826" w:rsidRPr="00584929">
              <w:rPr>
                <w:rFonts w:ascii="Times New Roman" w:hAnsi="Times New Roman" w:cs="Times New Roman"/>
              </w:rPr>
              <w:t>nklatury w nazewnictwie także w </w:t>
            </w:r>
            <w:r w:rsidRPr="00584929">
              <w:rPr>
                <w:rFonts w:ascii="Times New Roman" w:hAnsi="Times New Roman" w:cs="Times New Roman"/>
              </w:rPr>
              <w:t>innych nowelizowanych ustawach</w:t>
            </w:r>
            <w:r w:rsidR="006426E7" w:rsidRPr="00584929">
              <w:rPr>
                <w:rFonts w:ascii="Times New Roman" w:hAnsi="Times New Roman" w:cs="Times New Roman"/>
              </w:rPr>
              <w:t>, w szczególności w ustawie o </w:t>
            </w:r>
            <w:r w:rsidRPr="00584929">
              <w:rPr>
                <w:rFonts w:ascii="Times New Roman" w:hAnsi="Times New Roman" w:cs="Times New Roman"/>
              </w:rPr>
              <w:t xml:space="preserve">KRS. Tym samym proponuję nadanie projektowanemu art. 4b ust. 2 zdanie drugie ww. ustawy brzmienia: „Dane </w:t>
            </w:r>
            <w:r w:rsidRPr="00584929">
              <w:rPr>
                <w:rFonts w:ascii="Times New Roman" w:hAnsi="Times New Roman" w:cs="Times New Roman"/>
              </w:rPr>
              <w:lastRenderedPageBreak/>
              <w:t>zgromadzone w Rejestrze udostępnia się do ponownego wykorzystywania także za pośrednictwem interfejsu programowania aplikacji (API) .”.</w:t>
            </w:r>
          </w:p>
        </w:tc>
        <w:tc>
          <w:tcPr>
            <w:tcW w:w="4785" w:type="dxa"/>
            <w:shd w:val="clear" w:color="auto" w:fill="auto"/>
          </w:tcPr>
          <w:p w14:paraId="23437735" w14:textId="77777777" w:rsidR="000F6A16" w:rsidRPr="00584929" w:rsidRDefault="005D7E93" w:rsidP="004A29FC">
            <w:pPr>
              <w:rPr>
                <w:rFonts w:ascii="Times New Roman" w:hAnsi="Times New Roman" w:cs="Times New Roman"/>
                <w:b/>
              </w:rPr>
            </w:pPr>
            <w:r w:rsidRPr="00584929">
              <w:rPr>
                <w:rFonts w:ascii="Times New Roman" w:hAnsi="Times New Roman" w:cs="Times New Roman"/>
                <w:b/>
              </w:rPr>
              <w:lastRenderedPageBreak/>
              <w:t xml:space="preserve">Uwaga uwzględniona częściowo </w:t>
            </w:r>
          </w:p>
          <w:p w14:paraId="1B9388AA" w14:textId="7D029A1F" w:rsidR="005D7E93" w:rsidRPr="00584929" w:rsidRDefault="000F6A16" w:rsidP="000F6A16">
            <w:pPr>
              <w:jc w:val="both"/>
              <w:rPr>
                <w:rFonts w:ascii="Times New Roman" w:hAnsi="Times New Roman" w:cs="Times New Roman"/>
              </w:rPr>
            </w:pPr>
            <w:r w:rsidRPr="00584929">
              <w:rPr>
                <w:rFonts w:ascii="Times New Roman" w:hAnsi="Times New Roman" w:cs="Times New Roman"/>
              </w:rPr>
              <w:t xml:space="preserve">1. Uwaga uwzględniona w zakresie zmiany art. 4b ust. 2 zdanie drugie ustawy o Krajowym Rejestrze Sądowym (API). </w:t>
            </w:r>
          </w:p>
          <w:p w14:paraId="5D35A6B3" w14:textId="25CA3D53" w:rsidR="000F6A16" w:rsidRPr="00584929" w:rsidRDefault="000F6A16" w:rsidP="000F6A16">
            <w:pPr>
              <w:jc w:val="both"/>
              <w:rPr>
                <w:rFonts w:ascii="Times New Roman" w:hAnsi="Times New Roman" w:cs="Times New Roman"/>
              </w:rPr>
            </w:pPr>
            <w:r w:rsidRPr="00584929">
              <w:rPr>
                <w:rFonts w:ascii="Times New Roman" w:hAnsi="Times New Roman" w:cs="Times New Roman"/>
              </w:rPr>
              <w:t>Wyrażenie „usługi sieciowe” zostanie zastąpione wyrażeniem „interfejs programowania aplikacji (API)”</w:t>
            </w:r>
          </w:p>
          <w:p w14:paraId="5010EA5B" w14:textId="77777777" w:rsidR="000F6A16" w:rsidRPr="00584929" w:rsidRDefault="000F6A16" w:rsidP="000F6A16">
            <w:pPr>
              <w:jc w:val="both"/>
              <w:rPr>
                <w:rFonts w:ascii="Times New Roman" w:hAnsi="Times New Roman" w:cs="Times New Roman"/>
              </w:rPr>
            </w:pPr>
          </w:p>
          <w:p w14:paraId="6E4907D4" w14:textId="445D84DE" w:rsidR="000F6A16" w:rsidRPr="00584929" w:rsidRDefault="000F6A16" w:rsidP="000F6A16">
            <w:pPr>
              <w:jc w:val="both"/>
              <w:rPr>
                <w:rFonts w:ascii="Times New Roman" w:hAnsi="Times New Roman" w:cs="Times New Roman"/>
              </w:rPr>
            </w:pPr>
            <w:r w:rsidRPr="00584929">
              <w:rPr>
                <w:rFonts w:ascii="Times New Roman" w:hAnsi="Times New Roman" w:cs="Times New Roman"/>
              </w:rPr>
              <w:t>2. Uwaga nieuwzględniona w zakresie  dot. rozważenia zamieszczania w projektowanym art. 4b ust. 1 ustawy o Krajowym Rejestrze Sądowym stwierdzenia, że dane i informacje o podmiotach wpisanych do KRS są przekazywane do ponownego wykorzystania z zachowaniem przepisów projektu</w:t>
            </w:r>
          </w:p>
          <w:p w14:paraId="2BD3101D" w14:textId="77777777" w:rsidR="000F6A16" w:rsidRPr="00584929" w:rsidRDefault="000F6A16" w:rsidP="004A29FC">
            <w:pPr>
              <w:rPr>
                <w:rFonts w:ascii="Times New Roman" w:hAnsi="Times New Roman" w:cs="Times New Roman"/>
              </w:rPr>
            </w:pPr>
          </w:p>
          <w:p w14:paraId="7FF82A3C" w14:textId="27313758" w:rsidR="003A4934" w:rsidRPr="00584929" w:rsidRDefault="003A4934" w:rsidP="003A4934">
            <w:pPr>
              <w:jc w:val="both"/>
              <w:rPr>
                <w:rFonts w:ascii="Times New Roman" w:hAnsi="Times New Roman" w:cs="Times New Roman"/>
                <w:i/>
              </w:rPr>
            </w:pPr>
            <w:r w:rsidRPr="00584929">
              <w:rPr>
                <w:rFonts w:ascii="Times New Roman" w:hAnsi="Times New Roman" w:cs="Times New Roman"/>
              </w:rPr>
              <w:t>Zgodnie z art. 48 projektu ustawy</w:t>
            </w:r>
            <w:r w:rsidR="003C7D4D">
              <w:rPr>
                <w:rFonts w:ascii="Times New Roman" w:hAnsi="Times New Roman" w:cs="Times New Roman"/>
              </w:rPr>
              <w:t xml:space="preserve"> </w:t>
            </w:r>
            <w:r w:rsidR="003C7D4D" w:rsidRPr="003C7D4D">
              <w:rPr>
                <w:rFonts w:ascii="Times New Roman" w:hAnsi="Times New Roman" w:cs="Times New Roman"/>
              </w:rPr>
              <w:t>(w wersji projektu po konferencji uzgodnieniowej – art. 52</w:t>
            </w:r>
            <w:r w:rsidR="003C7D4D">
              <w:rPr>
                <w:rFonts w:ascii="Times New Roman" w:hAnsi="Times New Roman" w:cs="Times New Roman"/>
              </w:rPr>
              <w:t>)</w:t>
            </w:r>
            <w:r w:rsidRPr="00584929">
              <w:rPr>
                <w:rFonts w:ascii="Times New Roman" w:hAnsi="Times New Roman" w:cs="Times New Roman"/>
              </w:rPr>
              <w:t>: „</w:t>
            </w:r>
            <w:r w:rsidR="003C7D4D">
              <w:rPr>
                <w:rFonts w:ascii="Times New Roman" w:hAnsi="Times New Roman" w:cs="Times New Roman"/>
                <w:i/>
              </w:rPr>
              <w:t>W </w:t>
            </w:r>
            <w:r w:rsidRPr="00584929">
              <w:rPr>
                <w:rFonts w:ascii="Times New Roman" w:hAnsi="Times New Roman" w:cs="Times New Roman"/>
                <w:i/>
              </w:rPr>
              <w:t xml:space="preserve">ustawie z dnia 20 sierpnia 1997 r. o Krajowym Rejestrze Sądowym (Dz. U. z 2019 r. poz. 1500, </w:t>
            </w:r>
            <w:r w:rsidRPr="00584929">
              <w:rPr>
                <w:rFonts w:ascii="Times New Roman" w:hAnsi="Times New Roman" w:cs="Times New Roman"/>
                <w:i/>
              </w:rPr>
              <w:lastRenderedPageBreak/>
              <w:t xml:space="preserve">1655 i 1798) </w:t>
            </w:r>
            <w:r w:rsidR="003C7D4D">
              <w:rPr>
                <w:rFonts w:ascii="Times New Roman" w:hAnsi="Times New Roman" w:cs="Times New Roman"/>
                <w:i/>
              </w:rPr>
              <w:t>po art. 4a dodaje się art. 4b w </w:t>
            </w:r>
            <w:r w:rsidRPr="00584929">
              <w:rPr>
                <w:rFonts w:ascii="Times New Roman" w:hAnsi="Times New Roman" w:cs="Times New Roman"/>
                <w:i/>
              </w:rPr>
              <w:t>brzmieniu:</w:t>
            </w:r>
          </w:p>
          <w:p w14:paraId="60606A49" w14:textId="261E1B03" w:rsidR="006426E7" w:rsidRPr="00584929" w:rsidRDefault="003A4934" w:rsidP="003A4934">
            <w:pPr>
              <w:jc w:val="both"/>
              <w:rPr>
                <w:rFonts w:ascii="Times New Roman" w:hAnsi="Times New Roman" w:cs="Times New Roman"/>
                <w:i/>
              </w:rPr>
            </w:pPr>
            <w:r w:rsidRPr="00584929">
              <w:rPr>
                <w:rFonts w:ascii="Times New Roman" w:hAnsi="Times New Roman" w:cs="Times New Roman"/>
                <w:i/>
              </w:rPr>
              <w:t>Art. 4b. 1. Dane i informacje o podmiotach wpisanych do Rejestru są przekazywane do ponownego wykorzystywania, z zachowaniem przepisów ustaw</w:t>
            </w:r>
            <w:r w:rsidR="006426E7" w:rsidRPr="00584929">
              <w:rPr>
                <w:rFonts w:ascii="Times New Roman" w:hAnsi="Times New Roman" w:cs="Times New Roman"/>
                <w:i/>
              </w:rPr>
              <w:t>y z dnia … o otwartych danych i </w:t>
            </w:r>
            <w:r w:rsidRPr="00584929">
              <w:rPr>
                <w:rFonts w:ascii="Times New Roman" w:hAnsi="Times New Roman" w:cs="Times New Roman"/>
                <w:i/>
              </w:rPr>
              <w:t xml:space="preserve">ponownym wykorzystywaniu informacji sektora publicznego (Dz. U. poz. …), </w:t>
            </w:r>
            <w:r w:rsidRPr="00584929">
              <w:rPr>
                <w:rFonts w:ascii="Times New Roman" w:hAnsi="Times New Roman" w:cs="Times New Roman"/>
                <w:i/>
                <w:u w:val="single"/>
              </w:rPr>
              <w:t xml:space="preserve">jeżeli przepisy ustawy </w:t>
            </w:r>
            <w:r w:rsidR="006426E7" w:rsidRPr="00584929">
              <w:rPr>
                <w:rFonts w:ascii="Times New Roman" w:hAnsi="Times New Roman" w:cs="Times New Roman"/>
              </w:rPr>
              <w:t xml:space="preserve">[ustawy o KRS] </w:t>
            </w:r>
            <w:r w:rsidRPr="00584929">
              <w:rPr>
                <w:rFonts w:ascii="Times New Roman" w:hAnsi="Times New Roman" w:cs="Times New Roman"/>
                <w:i/>
                <w:u w:val="single"/>
              </w:rPr>
              <w:t>nie stanowią inaczej</w:t>
            </w:r>
            <w:r w:rsidRPr="00584929">
              <w:rPr>
                <w:rFonts w:ascii="Times New Roman" w:hAnsi="Times New Roman" w:cs="Times New Roman"/>
                <w:i/>
              </w:rPr>
              <w:t>.</w:t>
            </w:r>
            <w:r w:rsidR="006426E7" w:rsidRPr="00584929">
              <w:rPr>
                <w:rFonts w:ascii="Times New Roman" w:hAnsi="Times New Roman" w:cs="Times New Roman"/>
                <w:i/>
              </w:rPr>
              <w:t>”</w:t>
            </w:r>
          </w:p>
          <w:p w14:paraId="6EDAA71C" w14:textId="77777777" w:rsidR="006426E7" w:rsidRPr="00584929" w:rsidRDefault="006426E7" w:rsidP="003A4934">
            <w:pPr>
              <w:jc w:val="both"/>
              <w:rPr>
                <w:rFonts w:ascii="Times New Roman" w:hAnsi="Times New Roman" w:cs="Times New Roman"/>
              </w:rPr>
            </w:pPr>
          </w:p>
          <w:p w14:paraId="4648DC4F" w14:textId="2673A6D7" w:rsidR="006426E7" w:rsidRPr="00584929" w:rsidRDefault="006426E7" w:rsidP="006426E7">
            <w:pPr>
              <w:jc w:val="both"/>
              <w:rPr>
                <w:rFonts w:ascii="Times New Roman" w:hAnsi="Times New Roman" w:cs="Times New Roman"/>
              </w:rPr>
            </w:pPr>
            <w:r w:rsidRPr="00584929">
              <w:rPr>
                <w:rFonts w:ascii="Times New Roman" w:hAnsi="Times New Roman" w:cs="Times New Roman"/>
              </w:rPr>
              <w:t>Projekt ustawy reguluje kwestię relacji przepisów ustaw szczególnych i przepisów projektowanej ustawy (reguły kolizyjne). Zgodne z art. 7 ust. 1 projektu ustawy w przypadku zbiegu przepisów zastosowanie znajdować będą przepisy ustawy szczególnej, które w sposób odmienny niż projektowana ustawa regulują zasady, warunki i tryb dostępu do ISP (zob. B. Fischer, A. Piskorz-Ryń, M. Sakowska-Baryła, J. Wyporska-Frankiewicz, Ustawa o ponownym wykorzystywaniu informacji sektora publicznego. Komentarz. Wolters Kluwer, wydanie 2, Warszawa 2019, str. 226</w:t>
            </w:r>
            <w:r w:rsidRPr="00584929">
              <w:rPr>
                <w:rStyle w:val="Odwoanieprzypisudolnego"/>
                <w:rFonts w:ascii="Times New Roman" w:hAnsi="Times New Roman" w:cs="Times New Roman"/>
              </w:rPr>
              <w:footnoteReference w:id="13"/>
            </w:r>
            <w:r w:rsidR="00C84837">
              <w:rPr>
                <w:rFonts w:ascii="Times New Roman" w:hAnsi="Times New Roman" w:cs="Times New Roman"/>
                <w:vertAlign w:val="superscript"/>
              </w:rPr>
              <w:t>)</w:t>
            </w:r>
            <w:r w:rsidRPr="00584929">
              <w:rPr>
                <w:rFonts w:ascii="Times New Roman" w:hAnsi="Times New Roman" w:cs="Times New Roman"/>
              </w:rPr>
              <w:t>).</w:t>
            </w:r>
          </w:p>
          <w:p w14:paraId="7438A17B" w14:textId="1449DCEE" w:rsidR="006426E7" w:rsidRPr="00584929" w:rsidRDefault="006426E7" w:rsidP="006426E7">
            <w:pPr>
              <w:jc w:val="both"/>
              <w:rPr>
                <w:rFonts w:ascii="Times New Roman" w:hAnsi="Times New Roman" w:cs="Times New Roman"/>
              </w:rPr>
            </w:pPr>
            <w:r w:rsidRPr="00584929">
              <w:rPr>
                <w:rFonts w:ascii="Times New Roman" w:hAnsi="Times New Roman" w:cs="Times New Roman"/>
              </w:rPr>
              <w:t xml:space="preserve">Regulację art. 7 ust. 1 należy wiązać z przepisem art. 6 ust. 3 projektu, w którym przewidziano przesłankę ograniczającą prawo do ponownego wykorzystywania informacji będących ISP, do których dostęp jest ograniczony na podstawie innych ustaw. Należy przy tym podkreślić, że zawarte w art. 6 ust. 3 sformułowanie „dostęp jest ograniczony” należy odnosić nie tylko do przepisów innych ustaw, w których wprost wskazano na ograniczenie dostępu do określonych danych przez </w:t>
            </w:r>
            <w:r w:rsidRPr="00584929">
              <w:rPr>
                <w:rFonts w:ascii="Times New Roman" w:hAnsi="Times New Roman" w:cs="Times New Roman"/>
              </w:rPr>
              <w:lastRenderedPageBreak/>
              <w:t>użycie właśnie takiego zwrotu lub tożsamego, ale również do takich regulacji, które w sposób pozytywny określają reguły dostępu do informacji (zob. B. Fischer, A. Piskorz-Ryń, M. Sakowska-Baryła, J. Wyporska-Frankiewicz, Ustawa o ponownym wykorzystywaniu informacji sektora publicznego. Komentarz. Wolters Kluwer, wydanie 2, Warszawa 2019, str. 143</w:t>
            </w:r>
            <w:r w:rsidRPr="00584929">
              <w:rPr>
                <w:rStyle w:val="Odwoanieprzypisudolnego"/>
                <w:rFonts w:ascii="Times New Roman" w:hAnsi="Times New Roman" w:cs="Times New Roman"/>
              </w:rPr>
              <w:footnoteReference w:id="14"/>
            </w:r>
            <w:r w:rsidR="00C84837">
              <w:rPr>
                <w:rFonts w:ascii="Times New Roman" w:hAnsi="Times New Roman" w:cs="Times New Roman"/>
                <w:vertAlign w:val="superscript"/>
              </w:rPr>
              <w:t>)</w:t>
            </w:r>
            <w:r w:rsidRPr="00584929">
              <w:rPr>
                <w:rFonts w:ascii="Times New Roman" w:hAnsi="Times New Roman" w:cs="Times New Roman"/>
              </w:rPr>
              <w:t>).</w:t>
            </w:r>
          </w:p>
          <w:p w14:paraId="3B97E345" w14:textId="2624F048" w:rsidR="006426E7" w:rsidRPr="00584929" w:rsidRDefault="006426E7" w:rsidP="006426E7">
            <w:pPr>
              <w:jc w:val="both"/>
              <w:rPr>
                <w:rFonts w:ascii="Times New Roman" w:hAnsi="Times New Roman" w:cs="Times New Roman"/>
              </w:rPr>
            </w:pPr>
            <w:r w:rsidRPr="00584929">
              <w:rPr>
                <w:rFonts w:ascii="Times New Roman" w:hAnsi="Times New Roman" w:cs="Times New Roman"/>
              </w:rPr>
              <w:t>Znowelizowane przepisy ustawy z dnia 20 sierpnia 1997 r. o Krajowym Rejestrze Sądowym (Dz. U. z 2019 r., poz. 1500, z późn. zm.) w brzmieniu, o którym mowa w art. 48  projektu ustawy (art. 52) określają zasady, warunki i tryb dostępu do danych i informacji o podmiotach wpisanych do Rejestru.  Dodatkowo w art. 4b ust. 1 ustawy o Krajowym Rejestrze Sądowym (dodanym przez projekt ustawy) wskazano, że dane i informacje o podmiotach wpisanych do Rejestru są przekazywane do ponownego wykorzystywania, z zachowaniem przepisów ustawy z dnia … o otwartych danych i ponownym wykorzystywaniu informacji sektora publicznego, jeżeli przepisy ustawy (ustawy o Krajowym rejestrze Sądowym) nie stanowią inaczej.</w:t>
            </w:r>
          </w:p>
          <w:p w14:paraId="4CF6A402" w14:textId="3F6E920B" w:rsidR="006426E7" w:rsidRPr="00584929" w:rsidRDefault="006426E7" w:rsidP="006426E7">
            <w:pPr>
              <w:jc w:val="both"/>
              <w:rPr>
                <w:rFonts w:ascii="Times New Roman" w:hAnsi="Times New Roman" w:cs="Times New Roman"/>
              </w:rPr>
            </w:pPr>
            <w:r w:rsidRPr="00584929">
              <w:rPr>
                <w:rFonts w:ascii="Times New Roman" w:hAnsi="Times New Roman" w:cs="Times New Roman"/>
              </w:rPr>
              <w:t>Jeżeli zatem ustawa o Krajowym Rejestrze Sądowym (jako ustawa szczególna) wprowadzać będzie inne/odmienne zasady dot. dostępu do informacji, regulacje takie będą znajdować pierwszeństwo przed przepisami projektowanej ustawy. Takim przepisem szczególnym będzie projektowany art. 4b ust. 1</w:t>
            </w:r>
            <w:r w:rsidR="003C7D4D">
              <w:rPr>
                <w:rFonts w:ascii="Times New Roman" w:hAnsi="Times New Roman" w:cs="Times New Roman"/>
              </w:rPr>
              <w:t xml:space="preserve"> ustawy o Krajowym Rejestrze Sądowym</w:t>
            </w:r>
            <w:r w:rsidRPr="00584929">
              <w:rPr>
                <w:rFonts w:ascii="Times New Roman" w:hAnsi="Times New Roman" w:cs="Times New Roman"/>
              </w:rPr>
              <w:t xml:space="preserve">. </w:t>
            </w:r>
          </w:p>
          <w:p w14:paraId="4DEBE2C8" w14:textId="13EE2FA7" w:rsidR="005D7E93" w:rsidRPr="00584929" w:rsidRDefault="005D7E93" w:rsidP="006426E7">
            <w:pPr>
              <w:jc w:val="both"/>
              <w:rPr>
                <w:rFonts w:ascii="Times New Roman" w:hAnsi="Times New Roman" w:cs="Times New Roman"/>
              </w:rPr>
            </w:pPr>
          </w:p>
        </w:tc>
      </w:tr>
      <w:tr w:rsidR="004873A1" w:rsidRPr="00584929" w14:paraId="2A48B797" w14:textId="77777777" w:rsidTr="00D94ED7">
        <w:tc>
          <w:tcPr>
            <w:tcW w:w="676" w:type="dxa"/>
            <w:shd w:val="clear" w:color="auto" w:fill="auto"/>
          </w:tcPr>
          <w:p w14:paraId="7BB1F7E0"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757F574A" w14:textId="4A5BAF96" w:rsidR="004873A1" w:rsidRPr="00584929" w:rsidRDefault="00521864"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3144A918" w14:textId="7CEA2564" w:rsidR="004873A1" w:rsidRPr="00584929" w:rsidRDefault="00521864" w:rsidP="004A29FC">
            <w:pPr>
              <w:rPr>
                <w:rFonts w:ascii="Times New Roman" w:hAnsi="Times New Roman" w:cs="Times New Roman"/>
              </w:rPr>
            </w:pPr>
            <w:r w:rsidRPr="00584929">
              <w:rPr>
                <w:rFonts w:ascii="Times New Roman" w:hAnsi="Times New Roman" w:cs="Times New Roman"/>
              </w:rPr>
              <w:t>Art. 49</w:t>
            </w:r>
          </w:p>
        </w:tc>
        <w:tc>
          <w:tcPr>
            <w:tcW w:w="5323" w:type="dxa"/>
            <w:shd w:val="clear" w:color="auto" w:fill="auto"/>
          </w:tcPr>
          <w:p w14:paraId="0443B4F3" w14:textId="77777777" w:rsidR="00521864" w:rsidRPr="00584929" w:rsidRDefault="00521864" w:rsidP="00164826">
            <w:pPr>
              <w:jc w:val="both"/>
              <w:rPr>
                <w:rFonts w:ascii="Times New Roman" w:hAnsi="Times New Roman" w:cs="Times New Roman"/>
              </w:rPr>
            </w:pPr>
            <w:r w:rsidRPr="00584929">
              <w:rPr>
                <w:rFonts w:ascii="Times New Roman" w:hAnsi="Times New Roman" w:cs="Times New Roman"/>
              </w:rPr>
              <w:t xml:space="preserve">W zakresie przepisów zmieniających: </w:t>
            </w:r>
          </w:p>
          <w:p w14:paraId="3217D742" w14:textId="25A0DAAC" w:rsidR="00521864" w:rsidRPr="00584929" w:rsidRDefault="00521864" w:rsidP="00164826">
            <w:pPr>
              <w:jc w:val="both"/>
              <w:rPr>
                <w:rFonts w:ascii="Times New Roman" w:hAnsi="Times New Roman" w:cs="Times New Roman"/>
              </w:rPr>
            </w:pPr>
            <w:r w:rsidRPr="00584929">
              <w:rPr>
                <w:rFonts w:ascii="Times New Roman" w:hAnsi="Times New Roman" w:cs="Times New Roman"/>
              </w:rPr>
              <w:t xml:space="preserve">art. 49 wymaga uzupełnienia w zakresie zmiany słów „centralne repozytorium” na „portal otwartych danych” również w art. 1 ust. 3 ustawy z dnia 6 września 2001 r. o dostępie do informacji publicznej. </w:t>
            </w:r>
          </w:p>
        </w:tc>
        <w:tc>
          <w:tcPr>
            <w:tcW w:w="4785" w:type="dxa"/>
            <w:shd w:val="clear" w:color="auto" w:fill="auto"/>
          </w:tcPr>
          <w:p w14:paraId="66B1B0E9" w14:textId="77777777" w:rsidR="004873A1" w:rsidRPr="00584929" w:rsidRDefault="00521864" w:rsidP="004A29FC">
            <w:pPr>
              <w:rPr>
                <w:rFonts w:ascii="Times New Roman" w:hAnsi="Times New Roman" w:cs="Times New Roman"/>
                <w:b/>
              </w:rPr>
            </w:pPr>
            <w:r w:rsidRPr="00584929">
              <w:rPr>
                <w:rFonts w:ascii="Times New Roman" w:hAnsi="Times New Roman" w:cs="Times New Roman"/>
                <w:b/>
              </w:rPr>
              <w:t>Uwaga uwzględniona</w:t>
            </w:r>
          </w:p>
          <w:p w14:paraId="57A9DB23" w14:textId="38DE6757" w:rsidR="006426E7" w:rsidRPr="00584929" w:rsidRDefault="006426E7" w:rsidP="004A29FC">
            <w:pPr>
              <w:rPr>
                <w:rFonts w:ascii="Times New Roman" w:hAnsi="Times New Roman" w:cs="Times New Roman"/>
              </w:rPr>
            </w:pPr>
            <w:r w:rsidRPr="00584929">
              <w:rPr>
                <w:rFonts w:ascii="Times New Roman" w:hAnsi="Times New Roman" w:cs="Times New Roman"/>
              </w:rPr>
              <w:t xml:space="preserve">Przepis zostanie zmieniony. </w:t>
            </w:r>
          </w:p>
        </w:tc>
      </w:tr>
      <w:tr w:rsidR="00521864" w:rsidRPr="00584929" w14:paraId="06DB0BA1" w14:textId="77777777" w:rsidTr="00D94ED7">
        <w:tc>
          <w:tcPr>
            <w:tcW w:w="676" w:type="dxa"/>
            <w:shd w:val="clear" w:color="auto" w:fill="auto"/>
          </w:tcPr>
          <w:p w14:paraId="3162A9ED" w14:textId="77777777" w:rsidR="00521864" w:rsidRPr="00584929" w:rsidRDefault="00521864" w:rsidP="004A29FC">
            <w:pPr>
              <w:pStyle w:val="Akapitzlist"/>
              <w:numPr>
                <w:ilvl w:val="0"/>
                <w:numId w:val="20"/>
              </w:numPr>
              <w:rPr>
                <w:sz w:val="22"/>
                <w:szCs w:val="22"/>
              </w:rPr>
            </w:pPr>
          </w:p>
        </w:tc>
        <w:tc>
          <w:tcPr>
            <w:tcW w:w="1968" w:type="dxa"/>
            <w:shd w:val="clear" w:color="auto" w:fill="auto"/>
          </w:tcPr>
          <w:p w14:paraId="311DAD35" w14:textId="05BE5B0F" w:rsidR="00521864" w:rsidRPr="00584929" w:rsidRDefault="00521864"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5A8AA85D" w14:textId="1A8F6987" w:rsidR="00521864" w:rsidRPr="00584929" w:rsidRDefault="00521864" w:rsidP="004A29FC">
            <w:pPr>
              <w:rPr>
                <w:rFonts w:ascii="Times New Roman" w:hAnsi="Times New Roman" w:cs="Times New Roman"/>
              </w:rPr>
            </w:pPr>
            <w:r w:rsidRPr="00584929">
              <w:rPr>
                <w:rFonts w:ascii="Times New Roman" w:hAnsi="Times New Roman" w:cs="Times New Roman"/>
              </w:rPr>
              <w:t>Art. 49</w:t>
            </w:r>
          </w:p>
        </w:tc>
        <w:tc>
          <w:tcPr>
            <w:tcW w:w="5323" w:type="dxa"/>
            <w:shd w:val="clear" w:color="auto" w:fill="auto"/>
          </w:tcPr>
          <w:p w14:paraId="1469D706" w14:textId="0523982A" w:rsidR="00521864" w:rsidRPr="00584929" w:rsidRDefault="00521864" w:rsidP="00164826">
            <w:pPr>
              <w:jc w:val="both"/>
              <w:rPr>
                <w:rFonts w:ascii="Times New Roman" w:hAnsi="Times New Roman" w:cs="Times New Roman"/>
              </w:rPr>
            </w:pPr>
            <w:r w:rsidRPr="00584929">
              <w:rPr>
                <w:rFonts w:ascii="Times New Roman" w:hAnsi="Times New Roman" w:cs="Times New Roman"/>
              </w:rPr>
              <w:t>W związku ze zmianami, które wprowadza projektow</w:t>
            </w:r>
            <w:r w:rsidR="00164826" w:rsidRPr="00584929">
              <w:rPr>
                <w:rFonts w:ascii="Times New Roman" w:hAnsi="Times New Roman" w:cs="Times New Roman"/>
              </w:rPr>
              <w:t>ana ustawa o otwartych danych i </w:t>
            </w:r>
            <w:r w:rsidRPr="00584929">
              <w:rPr>
                <w:rFonts w:ascii="Times New Roman" w:hAnsi="Times New Roman" w:cs="Times New Roman"/>
              </w:rPr>
              <w:t>ponownym wykorzystywaniu informacji sektora</w:t>
            </w:r>
            <w:r w:rsidR="00164826" w:rsidRPr="00584929">
              <w:rPr>
                <w:rFonts w:ascii="Times New Roman" w:hAnsi="Times New Roman" w:cs="Times New Roman"/>
              </w:rPr>
              <w:t xml:space="preserve"> publicznego w ustawie z dnia 6 </w:t>
            </w:r>
            <w:r w:rsidRPr="00584929">
              <w:rPr>
                <w:rFonts w:ascii="Times New Roman" w:hAnsi="Times New Roman" w:cs="Times New Roman"/>
              </w:rPr>
              <w:t>września 2001 r. o dostępie do informacji publicznej (Dz. U. z 2019 r. poz.1429, z późn. zm.) – dalej „udip" należy uchylić ust. 3 w art. 1 udip. Przepisy udip po wprowadzeniu zmian polegających na uchyleniu art. 9a-9e nie mówią już o przekazywaniu informacji publicznej do CRIP (ani portalu otwartych danych).</w:t>
            </w:r>
          </w:p>
        </w:tc>
        <w:tc>
          <w:tcPr>
            <w:tcW w:w="4785" w:type="dxa"/>
            <w:shd w:val="clear" w:color="auto" w:fill="auto"/>
          </w:tcPr>
          <w:p w14:paraId="7D00DBA9" w14:textId="77777777" w:rsidR="00521864" w:rsidRPr="00584929" w:rsidRDefault="00521864" w:rsidP="004A29FC">
            <w:pPr>
              <w:rPr>
                <w:rFonts w:ascii="Times New Roman" w:hAnsi="Times New Roman" w:cs="Times New Roman"/>
                <w:b/>
              </w:rPr>
            </w:pPr>
            <w:r w:rsidRPr="00584929">
              <w:rPr>
                <w:rFonts w:ascii="Times New Roman" w:hAnsi="Times New Roman" w:cs="Times New Roman"/>
                <w:b/>
              </w:rPr>
              <w:t>Uwaga uwzględniona</w:t>
            </w:r>
          </w:p>
          <w:p w14:paraId="3B6AAF7C" w14:textId="27A5FB84" w:rsidR="006426E7" w:rsidRPr="00584929" w:rsidRDefault="006426E7" w:rsidP="004A29FC">
            <w:pPr>
              <w:rPr>
                <w:rFonts w:ascii="Times New Roman" w:hAnsi="Times New Roman" w:cs="Times New Roman"/>
              </w:rPr>
            </w:pPr>
            <w:r w:rsidRPr="00584929">
              <w:rPr>
                <w:rFonts w:ascii="Times New Roman" w:hAnsi="Times New Roman" w:cs="Times New Roman"/>
              </w:rPr>
              <w:t>Przepis zostanie zmieniony.</w:t>
            </w:r>
          </w:p>
        </w:tc>
      </w:tr>
      <w:tr w:rsidR="004873A1" w:rsidRPr="00584929" w14:paraId="5DA69BDF" w14:textId="77777777" w:rsidTr="00D94ED7">
        <w:tc>
          <w:tcPr>
            <w:tcW w:w="676" w:type="dxa"/>
            <w:shd w:val="clear" w:color="auto" w:fill="auto"/>
          </w:tcPr>
          <w:p w14:paraId="6D30461C"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6FFE955B" w14:textId="1E21E8D5" w:rsidR="004873A1" w:rsidRPr="00584929" w:rsidRDefault="00521864"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14B4C790" w14:textId="34682366" w:rsidR="004873A1" w:rsidRPr="00584929" w:rsidRDefault="00521864" w:rsidP="004A29FC">
            <w:pPr>
              <w:rPr>
                <w:rFonts w:ascii="Times New Roman" w:hAnsi="Times New Roman" w:cs="Times New Roman"/>
              </w:rPr>
            </w:pPr>
            <w:r w:rsidRPr="00584929">
              <w:rPr>
                <w:rFonts w:ascii="Times New Roman" w:hAnsi="Times New Roman" w:cs="Times New Roman"/>
              </w:rPr>
              <w:t>Art. 49 pkt 2</w:t>
            </w:r>
          </w:p>
        </w:tc>
        <w:tc>
          <w:tcPr>
            <w:tcW w:w="5323" w:type="dxa"/>
            <w:shd w:val="clear" w:color="auto" w:fill="auto"/>
          </w:tcPr>
          <w:p w14:paraId="76588A65" w14:textId="25FC18E1" w:rsidR="00521864" w:rsidRPr="00584929" w:rsidRDefault="00521864" w:rsidP="00164826">
            <w:pPr>
              <w:jc w:val="both"/>
              <w:rPr>
                <w:rFonts w:ascii="Times New Roman" w:hAnsi="Times New Roman" w:cs="Times New Roman"/>
              </w:rPr>
            </w:pPr>
            <w:r w:rsidRPr="00584929">
              <w:rPr>
                <w:rFonts w:ascii="Times New Roman" w:hAnsi="Times New Roman" w:cs="Times New Roman"/>
              </w:rPr>
              <w:t>Ponadto w art. 49 pkt 2 projektowanej ustawy o otwartych danych i ponownym wykorzystywaniu informacji sektora publicznego wskazano błędny artykuł w słowach: „użyte w art. 2 w ust. 3…”. W ocenie MF chodziło raczej o art. 1 ust. 3 udip. Uwzględniając jednak uwagę opisaną powyżej (tj. uchylenie przepisu art. 1 ust. 3 udip) należałoby wykreślić słowa: „w art. 2 w ust. 3”.</w:t>
            </w:r>
          </w:p>
        </w:tc>
        <w:tc>
          <w:tcPr>
            <w:tcW w:w="4785" w:type="dxa"/>
            <w:shd w:val="clear" w:color="auto" w:fill="auto"/>
          </w:tcPr>
          <w:p w14:paraId="1D50328E" w14:textId="77777777" w:rsidR="004873A1" w:rsidRPr="00584929" w:rsidRDefault="00521864" w:rsidP="004A29FC">
            <w:pPr>
              <w:rPr>
                <w:rFonts w:ascii="Times New Roman" w:hAnsi="Times New Roman" w:cs="Times New Roman"/>
                <w:b/>
              </w:rPr>
            </w:pPr>
            <w:r w:rsidRPr="00584929">
              <w:rPr>
                <w:rFonts w:ascii="Times New Roman" w:hAnsi="Times New Roman" w:cs="Times New Roman"/>
                <w:b/>
              </w:rPr>
              <w:t>Uwaga uwzględniona</w:t>
            </w:r>
          </w:p>
          <w:p w14:paraId="3DC22F8A" w14:textId="28B04655" w:rsidR="006426E7" w:rsidRPr="00584929" w:rsidRDefault="006426E7" w:rsidP="004A29FC">
            <w:pPr>
              <w:rPr>
                <w:rFonts w:ascii="Times New Roman" w:hAnsi="Times New Roman" w:cs="Times New Roman"/>
                <w:b/>
              </w:rPr>
            </w:pPr>
            <w:r w:rsidRPr="00584929">
              <w:rPr>
                <w:rFonts w:ascii="Times New Roman" w:hAnsi="Times New Roman" w:cs="Times New Roman"/>
              </w:rPr>
              <w:t>Przepis zostanie zmieniony.</w:t>
            </w:r>
          </w:p>
        </w:tc>
      </w:tr>
      <w:tr w:rsidR="000E14FE" w:rsidRPr="00584929" w14:paraId="615B30A1" w14:textId="77777777" w:rsidTr="00D94ED7">
        <w:tc>
          <w:tcPr>
            <w:tcW w:w="676" w:type="dxa"/>
            <w:shd w:val="clear" w:color="auto" w:fill="auto"/>
          </w:tcPr>
          <w:p w14:paraId="3141A720" w14:textId="77777777" w:rsidR="000E14FE" w:rsidRPr="00584929" w:rsidRDefault="000E14FE" w:rsidP="004A29FC">
            <w:pPr>
              <w:pStyle w:val="Akapitzlist"/>
              <w:numPr>
                <w:ilvl w:val="0"/>
                <w:numId w:val="20"/>
              </w:numPr>
              <w:rPr>
                <w:sz w:val="22"/>
                <w:szCs w:val="22"/>
              </w:rPr>
            </w:pPr>
          </w:p>
        </w:tc>
        <w:tc>
          <w:tcPr>
            <w:tcW w:w="1968" w:type="dxa"/>
            <w:shd w:val="clear" w:color="auto" w:fill="auto"/>
          </w:tcPr>
          <w:p w14:paraId="3EB533FE" w14:textId="7B43B795" w:rsidR="000E14FE" w:rsidRPr="00584929" w:rsidRDefault="000E14FE" w:rsidP="004A29FC">
            <w:pPr>
              <w:rPr>
                <w:rFonts w:ascii="Times New Roman" w:hAnsi="Times New Roman" w:cs="Times New Roman"/>
              </w:rPr>
            </w:pPr>
            <w:r w:rsidRPr="00584929">
              <w:rPr>
                <w:rFonts w:ascii="Times New Roman" w:hAnsi="Times New Roman" w:cs="Times New Roman"/>
              </w:rPr>
              <w:t>Rządowe Centrum Legislacji</w:t>
            </w:r>
          </w:p>
        </w:tc>
        <w:tc>
          <w:tcPr>
            <w:tcW w:w="1526" w:type="dxa"/>
            <w:shd w:val="clear" w:color="auto" w:fill="auto"/>
          </w:tcPr>
          <w:p w14:paraId="4898680C" w14:textId="47466522" w:rsidR="000E14FE" w:rsidRPr="00584929" w:rsidRDefault="000E14FE" w:rsidP="004A29FC">
            <w:pPr>
              <w:rPr>
                <w:rFonts w:ascii="Times New Roman" w:hAnsi="Times New Roman" w:cs="Times New Roman"/>
              </w:rPr>
            </w:pPr>
            <w:r w:rsidRPr="00584929">
              <w:rPr>
                <w:rFonts w:ascii="Times New Roman" w:hAnsi="Times New Roman" w:cs="Times New Roman"/>
              </w:rPr>
              <w:t>Tytuł rozdziału 11</w:t>
            </w:r>
          </w:p>
        </w:tc>
        <w:tc>
          <w:tcPr>
            <w:tcW w:w="5323" w:type="dxa"/>
            <w:shd w:val="clear" w:color="auto" w:fill="auto"/>
          </w:tcPr>
          <w:p w14:paraId="19DC66DC" w14:textId="775D8DED" w:rsidR="000E14FE" w:rsidRPr="00584929" w:rsidRDefault="000E14FE" w:rsidP="00BE7C8D">
            <w:pPr>
              <w:jc w:val="both"/>
              <w:rPr>
                <w:rFonts w:ascii="Times New Roman" w:hAnsi="Times New Roman" w:cs="Times New Roman"/>
              </w:rPr>
            </w:pPr>
            <w:r w:rsidRPr="00584929">
              <w:rPr>
                <w:rFonts w:ascii="Times New Roman" w:hAnsi="Times New Roman" w:cs="Times New Roman"/>
              </w:rPr>
              <w:t>Z uwagi na przepisy dostosowujące zawarte w rozdziale 11 – konieczne jest uzupełnienie jego tytułu o tą kategorię przepisów.</w:t>
            </w:r>
          </w:p>
        </w:tc>
        <w:tc>
          <w:tcPr>
            <w:tcW w:w="4785" w:type="dxa"/>
            <w:shd w:val="clear" w:color="auto" w:fill="auto"/>
          </w:tcPr>
          <w:p w14:paraId="619B4B75" w14:textId="77777777" w:rsidR="000E14FE" w:rsidRPr="00584929" w:rsidRDefault="000E14FE" w:rsidP="004A29FC">
            <w:pPr>
              <w:rPr>
                <w:rFonts w:ascii="Times New Roman" w:hAnsi="Times New Roman" w:cs="Times New Roman"/>
                <w:b/>
              </w:rPr>
            </w:pPr>
            <w:r w:rsidRPr="00584929">
              <w:rPr>
                <w:rFonts w:ascii="Times New Roman" w:hAnsi="Times New Roman" w:cs="Times New Roman"/>
                <w:b/>
              </w:rPr>
              <w:t>Uwaga uwzględniona</w:t>
            </w:r>
          </w:p>
          <w:p w14:paraId="3762B8E0" w14:textId="7672ED70" w:rsidR="00310EE4" w:rsidRPr="00584929" w:rsidRDefault="00310EE4" w:rsidP="004A29FC">
            <w:pPr>
              <w:rPr>
                <w:rFonts w:ascii="Times New Roman" w:hAnsi="Times New Roman" w:cs="Times New Roman"/>
              </w:rPr>
            </w:pPr>
            <w:r w:rsidRPr="00584929">
              <w:rPr>
                <w:rFonts w:ascii="Times New Roman" w:hAnsi="Times New Roman" w:cs="Times New Roman"/>
              </w:rPr>
              <w:t xml:space="preserve">Tytuł rozdziału zostanie zmieniony. </w:t>
            </w:r>
          </w:p>
        </w:tc>
      </w:tr>
      <w:tr w:rsidR="004873A1" w:rsidRPr="00584929" w14:paraId="4DE4F425" w14:textId="77777777" w:rsidTr="00D94ED7">
        <w:tc>
          <w:tcPr>
            <w:tcW w:w="676" w:type="dxa"/>
            <w:shd w:val="clear" w:color="auto" w:fill="auto"/>
          </w:tcPr>
          <w:p w14:paraId="63587C6A"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54A9D5E8" w14:textId="1013042C" w:rsidR="004873A1" w:rsidRPr="00584929" w:rsidRDefault="00521864" w:rsidP="004A29FC">
            <w:pPr>
              <w:rPr>
                <w:rFonts w:ascii="Times New Roman" w:hAnsi="Times New Roman" w:cs="Times New Roman"/>
              </w:rPr>
            </w:pPr>
            <w:r w:rsidRPr="00584929">
              <w:rPr>
                <w:rFonts w:ascii="Times New Roman" w:hAnsi="Times New Roman" w:cs="Times New Roman"/>
              </w:rPr>
              <w:t>Ministerstwo Sprawiedliwości</w:t>
            </w:r>
          </w:p>
        </w:tc>
        <w:tc>
          <w:tcPr>
            <w:tcW w:w="1526" w:type="dxa"/>
            <w:shd w:val="clear" w:color="auto" w:fill="auto"/>
          </w:tcPr>
          <w:p w14:paraId="12801899" w14:textId="61E55D48" w:rsidR="004873A1" w:rsidRPr="00584929" w:rsidRDefault="00521864" w:rsidP="004A29FC">
            <w:pPr>
              <w:rPr>
                <w:rFonts w:ascii="Times New Roman" w:hAnsi="Times New Roman" w:cs="Times New Roman"/>
              </w:rPr>
            </w:pPr>
            <w:r w:rsidRPr="00584929">
              <w:rPr>
                <w:rFonts w:ascii="Times New Roman" w:hAnsi="Times New Roman" w:cs="Times New Roman"/>
              </w:rPr>
              <w:t>Art. 57</w:t>
            </w:r>
          </w:p>
        </w:tc>
        <w:tc>
          <w:tcPr>
            <w:tcW w:w="5323" w:type="dxa"/>
            <w:shd w:val="clear" w:color="auto" w:fill="auto"/>
          </w:tcPr>
          <w:p w14:paraId="573C6DF6" w14:textId="51BECF5F" w:rsidR="00521864" w:rsidRPr="00584929" w:rsidRDefault="00521864" w:rsidP="00BE7C8D">
            <w:pPr>
              <w:jc w:val="both"/>
              <w:rPr>
                <w:rFonts w:ascii="Times New Roman" w:hAnsi="Times New Roman" w:cs="Times New Roman"/>
              </w:rPr>
            </w:pPr>
            <w:r w:rsidRPr="00584929">
              <w:rPr>
                <w:rFonts w:ascii="Times New Roman" w:hAnsi="Times New Roman" w:cs="Times New Roman"/>
              </w:rPr>
              <w:t>Przewidziany w art. 57 termin wejścia w życie proj</w:t>
            </w:r>
            <w:r w:rsidR="00310EE4" w:rsidRPr="00584929">
              <w:rPr>
                <w:rFonts w:ascii="Times New Roman" w:hAnsi="Times New Roman" w:cs="Times New Roman"/>
              </w:rPr>
              <w:t>ektu (3 </w:t>
            </w:r>
            <w:r w:rsidRPr="00584929">
              <w:rPr>
                <w:rFonts w:ascii="Times New Roman" w:hAnsi="Times New Roman" w:cs="Times New Roman"/>
              </w:rPr>
              <w:t xml:space="preserve">miesiące od dnia ogłoszenia) wydaje się nie uwzględniać zarówno specyfiki koniecznego procesu legislacyjnego wydania przez Ministra </w:t>
            </w:r>
            <w:r w:rsidR="00310EE4" w:rsidRPr="00584929">
              <w:rPr>
                <w:rFonts w:ascii="Times New Roman" w:hAnsi="Times New Roman" w:cs="Times New Roman"/>
              </w:rPr>
              <w:t>Sprawiedliwości rozporządzeń, o </w:t>
            </w:r>
            <w:r w:rsidRPr="00584929">
              <w:rPr>
                <w:rFonts w:ascii="Times New Roman" w:hAnsi="Times New Roman" w:cs="Times New Roman"/>
              </w:rPr>
              <w:t xml:space="preserve">których mowa we wprowadzanych w art. 48 projektu (delegacje z art. 4b </w:t>
            </w:r>
            <w:r w:rsidR="00BE7C8D" w:rsidRPr="00584929">
              <w:rPr>
                <w:rFonts w:ascii="Times New Roman" w:hAnsi="Times New Roman" w:cs="Times New Roman"/>
              </w:rPr>
              <w:t>ust. 3 i 4 ustawy o KRS), jak i </w:t>
            </w:r>
            <w:r w:rsidRPr="00584929">
              <w:rPr>
                <w:rFonts w:ascii="Times New Roman" w:hAnsi="Times New Roman" w:cs="Times New Roman"/>
              </w:rPr>
              <w:t>niezbędnego czasu na</w:t>
            </w:r>
            <w:r w:rsidR="00310EE4" w:rsidRPr="00584929">
              <w:rPr>
                <w:rFonts w:ascii="Times New Roman" w:hAnsi="Times New Roman" w:cs="Times New Roman"/>
              </w:rPr>
              <w:t xml:space="preserve"> wytworzenie usług sieciowych i </w:t>
            </w:r>
            <w:r w:rsidRPr="00584929">
              <w:rPr>
                <w:rFonts w:ascii="Times New Roman" w:hAnsi="Times New Roman" w:cs="Times New Roman"/>
              </w:rPr>
              <w:t>osiągnięcie przez nie gwarantowanej stabilności.</w:t>
            </w:r>
          </w:p>
        </w:tc>
        <w:tc>
          <w:tcPr>
            <w:tcW w:w="4785" w:type="dxa"/>
            <w:shd w:val="clear" w:color="auto" w:fill="auto"/>
          </w:tcPr>
          <w:p w14:paraId="0901018D" w14:textId="3D0EC184" w:rsidR="004873A1" w:rsidRPr="00584929" w:rsidRDefault="00310EE4" w:rsidP="004A29FC">
            <w:pPr>
              <w:rPr>
                <w:rFonts w:ascii="Times New Roman" w:hAnsi="Times New Roman" w:cs="Times New Roman"/>
                <w:b/>
              </w:rPr>
            </w:pPr>
            <w:r w:rsidRPr="00584929">
              <w:rPr>
                <w:rFonts w:ascii="Times New Roman" w:hAnsi="Times New Roman" w:cs="Times New Roman"/>
                <w:b/>
              </w:rPr>
              <w:t xml:space="preserve">Wyjaśnienie </w:t>
            </w:r>
          </w:p>
          <w:p w14:paraId="4453620A" w14:textId="78FD822B" w:rsidR="00310EE4" w:rsidRPr="00584929" w:rsidRDefault="00CC643B" w:rsidP="00310EE4">
            <w:pPr>
              <w:jc w:val="both"/>
              <w:rPr>
                <w:rFonts w:ascii="Times New Roman" w:hAnsi="Times New Roman" w:cs="Times New Roman"/>
              </w:rPr>
            </w:pPr>
            <w:r w:rsidRPr="00367BB9">
              <w:rPr>
                <w:rFonts w:ascii="Times New Roman" w:hAnsi="Times New Roman" w:cs="Times New Roman"/>
              </w:rPr>
              <w:t>Termin wejścia w życie projektu ustawy</w:t>
            </w:r>
            <w:r>
              <w:rPr>
                <w:rFonts w:ascii="Times New Roman" w:hAnsi="Times New Roman" w:cs="Times New Roman"/>
              </w:rPr>
              <w:t>,</w:t>
            </w:r>
            <w:r w:rsidRPr="00367BB9">
              <w:rPr>
                <w:rFonts w:ascii="Times New Roman" w:hAnsi="Times New Roman" w:cs="Times New Roman"/>
              </w:rPr>
              <w:t xml:space="preserve"> w zakresie w jakim dotyczy udostępniania danych z KRS przez API</w:t>
            </w:r>
            <w:r>
              <w:rPr>
                <w:rFonts w:ascii="Times New Roman" w:hAnsi="Times New Roman" w:cs="Times New Roman"/>
              </w:rPr>
              <w:t>,</w:t>
            </w:r>
            <w:r w:rsidRPr="00367BB9">
              <w:rPr>
                <w:rFonts w:ascii="Times New Roman" w:hAnsi="Times New Roman" w:cs="Times New Roman"/>
              </w:rPr>
              <w:t xml:space="preserve"> powinien uwzględniać czas niezbędny  na osiągnięcie gotowości  technicznej przez dysponenta rejestru. MS w trakcie konferencji uzgodnieniowej </w:t>
            </w:r>
            <w:r>
              <w:rPr>
                <w:rFonts w:ascii="Times New Roman" w:hAnsi="Times New Roman" w:cs="Times New Roman"/>
              </w:rPr>
              <w:t xml:space="preserve">(na ówczesnym etapie) </w:t>
            </w:r>
            <w:r w:rsidRPr="00367BB9">
              <w:rPr>
                <w:rFonts w:ascii="Times New Roman" w:hAnsi="Times New Roman" w:cs="Times New Roman"/>
              </w:rPr>
              <w:t>w sta</w:t>
            </w:r>
            <w:r>
              <w:rPr>
                <w:rFonts w:ascii="Times New Roman" w:hAnsi="Times New Roman" w:cs="Times New Roman"/>
              </w:rPr>
              <w:t>nie sprecyzować takiego okresu.</w:t>
            </w:r>
          </w:p>
        </w:tc>
      </w:tr>
      <w:tr w:rsidR="004873A1" w:rsidRPr="00584929" w14:paraId="0600D807" w14:textId="77777777" w:rsidTr="00D94ED7">
        <w:tc>
          <w:tcPr>
            <w:tcW w:w="676" w:type="dxa"/>
            <w:shd w:val="clear" w:color="auto" w:fill="auto"/>
          </w:tcPr>
          <w:p w14:paraId="78DF4A57"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2933E1D8" w14:textId="4043E824" w:rsidR="004873A1" w:rsidRPr="00584929" w:rsidRDefault="00521864" w:rsidP="004A29FC">
            <w:pPr>
              <w:rPr>
                <w:rFonts w:ascii="Times New Roman" w:hAnsi="Times New Roman" w:cs="Times New Roman"/>
              </w:rPr>
            </w:pPr>
            <w:r w:rsidRPr="00584929">
              <w:rPr>
                <w:rFonts w:ascii="Times New Roman" w:hAnsi="Times New Roman" w:cs="Times New Roman"/>
              </w:rPr>
              <w:t>Kancelaria Prezesa Rady Ministrów</w:t>
            </w:r>
          </w:p>
        </w:tc>
        <w:tc>
          <w:tcPr>
            <w:tcW w:w="1526" w:type="dxa"/>
            <w:shd w:val="clear" w:color="auto" w:fill="auto"/>
          </w:tcPr>
          <w:p w14:paraId="466BE739" w14:textId="637A1D36" w:rsidR="004873A1" w:rsidRPr="00584929" w:rsidRDefault="00521864" w:rsidP="004A29FC">
            <w:pPr>
              <w:rPr>
                <w:rFonts w:ascii="Times New Roman" w:hAnsi="Times New Roman" w:cs="Times New Roman"/>
              </w:rPr>
            </w:pPr>
            <w:r w:rsidRPr="00584929">
              <w:rPr>
                <w:rFonts w:ascii="Times New Roman" w:hAnsi="Times New Roman" w:cs="Times New Roman"/>
              </w:rPr>
              <w:t>Art. 57</w:t>
            </w:r>
          </w:p>
        </w:tc>
        <w:tc>
          <w:tcPr>
            <w:tcW w:w="5323" w:type="dxa"/>
            <w:shd w:val="clear" w:color="auto" w:fill="auto"/>
          </w:tcPr>
          <w:p w14:paraId="349241AF" w14:textId="610E7B69" w:rsidR="00521864" w:rsidRPr="00584929" w:rsidRDefault="00521864" w:rsidP="00BE7C8D">
            <w:pPr>
              <w:jc w:val="both"/>
              <w:rPr>
                <w:rFonts w:ascii="Times New Roman" w:hAnsi="Times New Roman" w:cs="Times New Roman"/>
              </w:rPr>
            </w:pPr>
            <w:r w:rsidRPr="00584929">
              <w:rPr>
                <w:rFonts w:ascii="Times New Roman" w:hAnsi="Times New Roman" w:cs="Times New Roman"/>
              </w:rPr>
              <w:t>Proponuje się rozważenie późniejszej daty wejścia w życie ustawy. Zgodnie z § 127 Zasad techniki prawodawczej rozporządzenie powinno wc</w:t>
            </w:r>
            <w:r w:rsidR="00BE7C8D" w:rsidRPr="00584929">
              <w:rPr>
                <w:rFonts w:ascii="Times New Roman" w:hAnsi="Times New Roman" w:cs="Times New Roman"/>
              </w:rPr>
              <w:t>hodzić w życie w dniu wejścia w </w:t>
            </w:r>
            <w:r w:rsidRPr="00584929">
              <w:rPr>
                <w:rFonts w:ascii="Times New Roman" w:hAnsi="Times New Roman" w:cs="Times New Roman"/>
              </w:rPr>
              <w:t>życie ustawy, na podstawie której jest ono wydawane. Zaplanowany w art. 57 projektu trzymiesięczny okres vacatio legis może się okaza</w:t>
            </w:r>
            <w:r w:rsidR="00BE7C8D" w:rsidRPr="00584929">
              <w:rPr>
                <w:rFonts w:ascii="Times New Roman" w:hAnsi="Times New Roman" w:cs="Times New Roman"/>
              </w:rPr>
              <w:t>ć niewystarczający, zwłaszcza w </w:t>
            </w:r>
            <w:r w:rsidRPr="00584929">
              <w:rPr>
                <w:rFonts w:ascii="Times New Roman" w:hAnsi="Times New Roman" w:cs="Times New Roman"/>
              </w:rPr>
              <w:t>kontekście wytycznych do wydania przepisów wykonawczych na podstawie art. 26 projektu. Wydanie aktu wykonawczego na tej podstawie będzie uzależnione nie tylko merytorycznie ale też formalnie od wcześniejszego wydania przez Komisję Europejską aktu delegowanego na podstawie art. 14 ust. 1 dyrektywy.</w:t>
            </w:r>
          </w:p>
        </w:tc>
        <w:tc>
          <w:tcPr>
            <w:tcW w:w="4785" w:type="dxa"/>
            <w:shd w:val="clear" w:color="auto" w:fill="auto"/>
          </w:tcPr>
          <w:p w14:paraId="2B208D94" w14:textId="77777777" w:rsidR="004873A1" w:rsidRPr="00584929" w:rsidRDefault="00DC5EB0" w:rsidP="004A29FC">
            <w:pPr>
              <w:rPr>
                <w:rFonts w:ascii="Times New Roman" w:hAnsi="Times New Roman" w:cs="Times New Roman"/>
                <w:b/>
              </w:rPr>
            </w:pPr>
            <w:r w:rsidRPr="00584929">
              <w:rPr>
                <w:rFonts w:ascii="Times New Roman" w:hAnsi="Times New Roman" w:cs="Times New Roman"/>
                <w:b/>
              </w:rPr>
              <w:t xml:space="preserve">Wyjaśnienie </w:t>
            </w:r>
          </w:p>
          <w:p w14:paraId="69EEB774" w14:textId="3A1446BE" w:rsidR="00DC5EB0" w:rsidRPr="00584929" w:rsidRDefault="00DC5EB0" w:rsidP="004A29FC">
            <w:pPr>
              <w:rPr>
                <w:rFonts w:ascii="Times New Roman" w:hAnsi="Times New Roman" w:cs="Times New Roman"/>
              </w:rPr>
            </w:pPr>
            <w:r w:rsidRPr="00584929">
              <w:rPr>
                <w:rFonts w:ascii="Times New Roman" w:hAnsi="Times New Roman" w:cs="Times New Roman"/>
              </w:rPr>
              <w:t xml:space="preserve">Uwaga przyjęta do wiadomości. </w:t>
            </w:r>
          </w:p>
        </w:tc>
      </w:tr>
      <w:tr w:rsidR="009311E1" w:rsidRPr="00584929" w14:paraId="2970C133" w14:textId="77777777" w:rsidTr="00D94ED7">
        <w:tc>
          <w:tcPr>
            <w:tcW w:w="676" w:type="dxa"/>
            <w:shd w:val="clear" w:color="auto" w:fill="auto"/>
          </w:tcPr>
          <w:p w14:paraId="60F3AE36" w14:textId="77777777" w:rsidR="009311E1" w:rsidRPr="00584929" w:rsidRDefault="009311E1" w:rsidP="004A29FC">
            <w:pPr>
              <w:pStyle w:val="Akapitzlist"/>
              <w:numPr>
                <w:ilvl w:val="0"/>
                <w:numId w:val="20"/>
              </w:numPr>
              <w:rPr>
                <w:sz w:val="22"/>
                <w:szCs w:val="22"/>
              </w:rPr>
            </w:pPr>
          </w:p>
        </w:tc>
        <w:tc>
          <w:tcPr>
            <w:tcW w:w="1968" w:type="dxa"/>
            <w:shd w:val="clear" w:color="auto" w:fill="auto"/>
          </w:tcPr>
          <w:p w14:paraId="7F6F26A1" w14:textId="1DF9E15E" w:rsidR="009311E1" w:rsidRPr="00584929" w:rsidRDefault="009311E1"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6629E699" w14:textId="19639871" w:rsidR="009311E1" w:rsidRPr="00584929" w:rsidRDefault="009311E1" w:rsidP="004A29FC">
            <w:pPr>
              <w:rPr>
                <w:rFonts w:ascii="Times New Roman" w:hAnsi="Times New Roman" w:cs="Times New Roman"/>
              </w:rPr>
            </w:pPr>
            <w:r w:rsidRPr="00584929">
              <w:rPr>
                <w:rFonts w:ascii="Times New Roman" w:hAnsi="Times New Roman" w:cs="Times New Roman"/>
              </w:rPr>
              <w:t>Uwaga ogólna</w:t>
            </w:r>
          </w:p>
        </w:tc>
        <w:tc>
          <w:tcPr>
            <w:tcW w:w="5323" w:type="dxa"/>
            <w:shd w:val="clear" w:color="auto" w:fill="auto"/>
          </w:tcPr>
          <w:p w14:paraId="0B4ADC58" w14:textId="325EA908" w:rsidR="009311E1" w:rsidRPr="00584929" w:rsidRDefault="009311E1" w:rsidP="00BE7C8D">
            <w:pPr>
              <w:jc w:val="both"/>
              <w:rPr>
                <w:rFonts w:ascii="Times New Roman" w:hAnsi="Times New Roman" w:cs="Times New Roman"/>
              </w:rPr>
            </w:pPr>
            <w:r w:rsidRPr="00584929">
              <w:rPr>
                <w:rFonts w:ascii="Times New Roman" w:hAnsi="Times New Roman" w:cs="Times New Roman"/>
              </w:rPr>
              <w:t xml:space="preserve">Niezależnie od powyższego w ocenie Ministerstwa Finansów analiza danych, szeroko regulowanych przez projekt ustawy, wskazuje </w:t>
            </w:r>
            <w:r w:rsidR="00BE7C8D" w:rsidRPr="00584929">
              <w:rPr>
                <w:rFonts w:ascii="Times New Roman" w:hAnsi="Times New Roman" w:cs="Times New Roman"/>
              </w:rPr>
              <w:t>na konieczność zweryfikowania i </w:t>
            </w:r>
            <w:r w:rsidRPr="00584929">
              <w:rPr>
                <w:rFonts w:ascii="Times New Roman" w:hAnsi="Times New Roman" w:cs="Times New Roman"/>
              </w:rPr>
              <w:t>przedefiniowana informacji publicznej wskazanej art. 6 udip.</w:t>
            </w:r>
          </w:p>
          <w:p w14:paraId="70805C03" w14:textId="682C6C7D" w:rsidR="009311E1" w:rsidRPr="00584929" w:rsidRDefault="009311E1" w:rsidP="004A29FC">
            <w:pPr>
              <w:rPr>
                <w:rFonts w:ascii="Times New Roman" w:hAnsi="Times New Roman" w:cs="Times New Roman"/>
              </w:rPr>
            </w:pPr>
          </w:p>
        </w:tc>
        <w:tc>
          <w:tcPr>
            <w:tcW w:w="4785" w:type="dxa"/>
            <w:shd w:val="clear" w:color="auto" w:fill="auto"/>
          </w:tcPr>
          <w:p w14:paraId="0DEDAC39" w14:textId="65F8BB56" w:rsidR="009311E1" w:rsidRPr="00584929" w:rsidRDefault="009311E1" w:rsidP="004A29FC">
            <w:pPr>
              <w:rPr>
                <w:rFonts w:ascii="Times New Roman" w:hAnsi="Times New Roman" w:cs="Times New Roman"/>
                <w:b/>
              </w:rPr>
            </w:pPr>
            <w:r w:rsidRPr="00584929">
              <w:rPr>
                <w:rFonts w:ascii="Times New Roman" w:hAnsi="Times New Roman" w:cs="Times New Roman"/>
                <w:b/>
              </w:rPr>
              <w:t xml:space="preserve">Uwaga </w:t>
            </w:r>
            <w:r w:rsidR="00DC5EB0" w:rsidRPr="00584929">
              <w:rPr>
                <w:rFonts w:ascii="Times New Roman" w:hAnsi="Times New Roman" w:cs="Times New Roman"/>
                <w:b/>
              </w:rPr>
              <w:t xml:space="preserve">wycofana </w:t>
            </w:r>
          </w:p>
          <w:p w14:paraId="71F4B0D0" w14:textId="77777777" w:rsidR="005D7E93" w:rsidRPr="00584929" w:rsidRDefault="005D7E93" w:rsidP="004A29FC">
            <w:pPr>
              <w:rPr>
                <w:rFonts w:ascii="Times New Roman" w:hAnsi="Times New Roman" w:cs="Times New Roman"/>
              </w:rPr>
            </w:pPr>
          </w:p>
          <w:p w14:paraId="0756D688" w14:textId="1237BD05" w:rsidR="005D7E93" w:rsidRPr="00584929" w:rsidRDefault="005D7E93" w:rsidP="004A29FC">
            <w:pPr>
              <w:rPr>
                <w:rFonts w:ascii="Times New Roman" w:hAnsi="Times New Roman" w:cs="Times New Roman"/>
              </w:rPr>
            </w:pPr>
          </w:p>
        </w:tc>
      </w:tr>
      <w:tr w:rsidR="009311E1" w:rsidRPr="00584929" w14:paraId="6396756F" w14:textId="77777777" w:rsidTr="00D94ED7">
        <w:tc>
          <w:tcPr>
            <w:tcW w:w="676" w:type="dxa"/>
            <w:shd w:val="clear" w:color="auto" w:fill="auto"/>
          </w:tcPr>
          <w:p w14:paraId="13781BDE" w14:textId="77777777" w:rsidR="009311E1" w:rsidRPr="00584929" w:rsidRDefault="009311E1" w:rsidP="004A29FC">
            <w:pPr>
              <w:pStyle w:val="Akapitzlist"/>
              <w:numPr>
                <w:ilvl w:val="0"/>
                <w:numId w:val="20"/>
              </w:numPr>
              <w:rPr>
                <w:sz w:val="22"/>
                <w:szCs w:val="22"/>
              </w:rPr>
            </w:pPr>
          </w:p>
        </w:tc>
        <w:tc>
          <w:tcPr>
            <w:tcW w:w="1968" w:type="dxa"/>
            <w:shd w:val="clear" w:color="auto" w:fill="auto"/>
          </w:tcPr>
          <w:p w14:paraId="01D1CE19" w14:textId="41069B03" w:rsidR="009311E1" w:rsidRPr="00584929" w:rsidRDefault="009311E1"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68DC3C44" w14:textId="728D7670" w:rsidR="009311E1" w:rsidRPr="00584929" w:rsidRDefault="009311E1" w:rsidP="004A29FC">
            <w:pPr>
              <w:rPr>
                <w:rFonts w:ascii="Times New Roman" w:hAnsi="Times New Roman" w:cs="Times New Roman"/>
              </w:rPr>
            </w:pPr>
            <w:r w:rsidRPr="00584929">
              <w:rPr>
                <w:rFonts w:ascii="Times New Roman" w:hAnsi="Times New Roman" w:cs="Times New Roman"/>
              </w:rPr>
              <w:t>Uwaga ogólna</w:t>
            </w:r>
          </w:p>
        </w:tc>
        <w:tc>
          <w:tcPr>
            <w:tcW w:w="5323" w:type="dxa"/>
            <w:shd w:val="clear" w:color="auto" w:fill="auto"/>
          </w:tcPr>
          <w:p w14:paraId="6400FCD5" w14:textId="421258F1" w:rsidR="009311E1" w:rsidRPr="00584929" w:rsidRDefault="009311E1" w:rsidP="00BE7C8D">
            <w:pPr>
              <w:jc w:val="both"/>
              <w:rPr>
                <w:rFonts w:ascii="Times New Roman" w:hAnsi="Times New Roman" w:cs="Times New Roman"/>
              </w:rPr>
            </w:pPr>
            <w:r w:rsidRPr="00584929">
              <w:rPr>
                <w:rFonts w:ascii="Times New Roman" w:hAnsi="Times New Roman" w:cs="Times New Roman"/>
              </w:rPr>
              <w:t>Uzasadnione wydaje się także zaktualizowanie katalogu informacji publicznych obowiązkowo udostępnianych w BIP, jeżeli zostały już udostępnione w CRIP/portalu otwartych danych (do którego dostęp w BIPie obowiązkowo zapewnia minister ds. informatyzacji) lub równoprawne potraktowanie tych publikatorów w art. 8 ust. 3 udip.</w:t>
            </w:r>
          </w:p>
        </w:tc>
        <w:tc>
          <w:tcPr>
            <w:tcW w:w="4785" w:type="dxa"/>
            <w:shd w:val="clear" w:color="auto" w:fill="auto"/>
          </w:tcPr>
          <w:p w14:paraId="14F05917" w14:textId="646AA5A6" w:rsidR="009311E1" w:rsidRPr="00584929" w:rsidRDefault="009311E1" w:rsidP="00DC5EB0">
            <w:pPr>
              <w:rPr>
                <w:rFonts w:ascii="Times New Roman" w:hAnsi="Times New Roman" w:cs="Times New Roman"/>
                <w:b/>
              </w:rPr>
            </w:pPr>
            <w:r w:rsidRPr="00584929">
              <w:rPr>
                <w:rFonts w:ascii="Times New Roman" w:hAnsi="Times New Roman" w:cs="Times New Roman"/>
                <w:b/>
              </w:rPr>
              <w:t xml:space="preserve">Uwaga </w:t>
            </w:r>
            <w:r w:rsidR="00DC5EB0" w:rsidRPr="00584929">
              <w:rPr>
                <w:rFonts w:ascii="Times New Roman" w:hAnsi="Times New Roman" w:cs="Times New Roman"/>
                <w:b/>
              </w:rPr>
              <w:t>wycofana</w:t>
            </w:r>
          </w:p>
        </w:tc>
      </w:tr>
      <w:tr w:rsidR="009311E1" w:rsidRPr="00584929" w14:paraId="4F74344B" w14:textId="77777777" w:rsidTr="00D94ED7">
        <w:tc>
          <w:tcPr>
            <w:tcW w:w="676" w:type="dxa"/>
            <w:shd w:val="clear" w:color="auto" w:fill="auto"/>
          </w:tcPr>
          <w:p w14:paraId="18250BEE" w14:textId="77777777" w:rsidR="009311E1" w:rsidRPr="00584929" w:rsidRDefault="009311E1" w:rsidP="004A29FC">
            <w:pPr>
              <w:pStyle w:val="Akapitzlist"/>
              <w:numPr>
                <w:ilvl w:val="0"/>
                <w:numId w:val="20"/>
              </w:numPr>
              <w:rPr>
                <w:sz w:val="22"/>
                <w:szCs w:val="22"/>
              </w:rPr>
            </w:pPr>
          </w:p>
        </w:tc>
        <w:tc>
          <w:tcPr>
            <w:tcW w:w="1968" w:type="dxa"/>
            <w:shd w:val="clear" w:color="auto" w:fill="auto"/>
          </w:tcPr>
          <w:p w14:paraId="6047596A" w14:textId="6E669F24" w:rsidR="009311E1" w:rsidRPr="00584929" w:rsidRDefault="009311E1"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2C3E1AF0" w14:textId="161066AD" w:rsidR="009311E1" w:rsidRPr="00584929" w:rsidRDefault="009311E1" w:rsidP="004A29FC">
            <w:pPr>
              <w:rPr>
                <w:rFonts w:ascii="Times New Roman" w:hAnsi="Times New Roman" w:cs="Times New Roman"/>
              </w:rPr>
            </w:pPr>
            <w:r w:rsidRPr="00584929">
              <w:rPr>
                <w:rFonts w:ascii="Times New Roman" w:hAnsi="Times New Roman" w:cs="Times New Roman"/>
              </w:rPr>
              <w:t>Uwaga ogólna</w:t>
            </w:r>
          </w:p>
        </w:tc>
        <w:tc>
          <w:tcPr>
            <w:tcW w:w="5323" w:type="dxa"/>
            <w:shd w:val="clear" w:color="auto" w:fill="auto"/>
          </w:tcPr>
          <w:p w14:paraId="659C4473" w14:textId="2E93CC54" w:rsidR="000414C3" w:rsidRPr="00584929" w:rsidRDefault="009311E1" w:rsidP="003F6C60">
            <w:pPr>
              <w:jc w:val="both"/>
              <w:rPr>
                <w:rFonts w:ascii="Times New Roman" w:hAnsi="Times New Roman" w:cs="Times New Roman"/>
              </w:rPr>
            </w:pPr>
            <w:r w:rsidRPr="00584929">
              <w:rPr>
                <w:rFonts w:ascii="Times New Roman" w:hAnsi="Times New Roman" w:cs="Times New Roman"/>
              </w:rPr>
              <w:t>Ponadto z uwagi na ścisłą zależność udostępniania informacji publicznej i otwierania danych publicznych oraz przekazywania informacji sektora publicznego do ponownego</w:t>
            </w:r>
            <w:r w:rsidR="002D5C67" w:rsidRPr="00584929">
              <w:rPr>
                <w:rFonts w:ascii="Times New Roman" w:hAnsi="Times New Roman" w:cs="Times New Roman"/>
              </w:rPr>
              <w:t xml:space="preserve"> </w:t>
            </w:r>
            <w:r w:rsidRPr="00584929">
              <w:rPr>
                <w:rFonts w:ascii="Times New Roman" w:hAnsi="Times New Roman" w:cs="Times New Roman"/>
              </w:rPr>
              <w:t>wykorzystywania, jak również konieczne powiązanie logiczne tych systemów udostępniania, projekt ustawy o otwartych danych i ponownym wykorzystywaniu  informacji sektora publicznego należałoby rozpatrywać łącznie z p</w:t>
            </w:r>
            <w:r w:rsidR="003F6C60" w:rsidRPr="00584929">
              <w:rPr>
                <w:rFonts w:ascii="Times New Roman" w:hAnsi="Times New Roman" w:cs="Times New Roman"/>
              </w:rPr>
              <w:t>rojektem ustawy o </w:t>
            </w:r>
            <w:r w:rsidRPr="00584929">
              <w:rPr>
                <w:rFonts w:ascii="Times New Roman" w:hAnsi="Times New Roman" w:cs="Times New Roman"/>
              </w:rPr>
              <w:t>dostępie do informacji publicznej.</w:t>
            </w:r>
          </w:p>
        </w:tc>
        <w:tc>
          <w:tcPr>
            <w:tcW w:w="4785" w:type="dxa"/>
            <w:shd w:val="clear" w:color="auto" w:fill="auto"/>
          </w:tcPr>
          <w:p w14:paraId="1169C06D" w14:textId="4525401B" w:rsidR="009311E1" w:rsidRPr="00584929" w:rsidRDefault="009311E1" w:rsidP="004A29FC">
            <w:pPr>
              <w:rPr>
                <w:rFonts w:ascii="Times New Roman" w:hAnsi="Times New Roman" w:cs="Times New Roman"/>
                <w:b/>
              </w:rPr>
            </w:pPr>
            <w:r w:rsidRPr="00584929">
              <w:rPr>
                <w:rFonts w:ascii="Times New Roman" w:hAnsi="Times New Roman" w:cs="Times New Roman"/>
                <w:b/>
              </w:rPr>
              <w:t xml:space="preserve">Uwaga </w:t>
            </w:r>
            <w:r w:rsidR="00DC5EB0" w:rsidRPr="00584929">
              <w:rPr>
                <w:rFonts w:ascii="Times New Roman" w:hAnsi="Times New Roman" w:cs="Times New Roman"/>
                <w:b/>
              </w:rPr>
              <w:t>wycofana</w:t>
            </w:r>
          </w:p>
          <w:p w14:paraId="2107DA3C" w14:textId="77777777" w:rsidR="005467B9" w:rsidRPr="00584929" w:rsidRDefault="005467B9" w:rsidP="004A29FC">
            <w:pPr>
              <w:rPr>
                <w:rFonts w:ascii="Times New Roman" w:hAnsi="Times New Roman" w:cs="Times New Roman"/>
              </w:rPr>
            </w:pPr>
          </w:p>
          <w:p w14:paraId="36FAD2C2" w14:textId="41192B31" w:rsidR="005467B9" w:rsidRPr="00584929" w:rsidRDefault="005467B9" w:rsidP="004A29FC">
            <w:pPr>
              <w:rPr>
                <w:rFonts w:ascii="Times New Roman" w:hAnsi="Times New Roman" w:cs="Times New Roman"/>
              </w:rPr>
            </w:pPr>
          </w:p>
        </w:tc>
      </w:tr>
      <w:tr w:rsidR="000414C3" w:rsidRPr="00584929" w14:paraId="436ED5BD" w14:textId="77777777" w:rsidTr="00D94ED7">
        <w:tc>
          <w:tcPr>
            <w:tcW w:w="676" w:type="dxa"/>
            <w:shd w:val="clear" w:color="auto" w:fill="auto"/>
          </w:tcPr>
          <w:p w14:paraId="37A6D6CA" w14:textId="77777777" w:rsidR="000414C3" w:rsidRPr="00584929" w:rsidRDefault="000414C3" w:rsidP="004A29FC">
            <w:pPr>
              <w:pStyle w:val="Akapitzlist"/>
              <w:numPr>
                <w:ilvl w:val="0"/>
                <w:numId w:val="20"/>
              </w:numPr>
              <w:rPr>
                <w:sz w:val="22"/>
                <w:szCs w:val="22"/>
              </w:rPr>
            </w:pPr>
          </w:p>
        </w:tc>
        <w:tc>
          <w:tcPr>
            <w:tcW w:w="1968" w:type="dxa"/>
            <w:shd w:val="clear" w:color="auto" w:fill="auto"/>
          </w:tcPr>
          <w:p w14:paraId="2DDB2FE0" w14:textId="77777777" w:rsidR="000414C3" w:rsidRPr="00584929" w:rsidRDefault="000414C3" w:rsidP="004A29FC">
            <w:pPr>
              <w:rPr>
                <w:rFonts w:ascii="Times New Roman" w:hAnsi="Times New Roman" w:cs="Times New Roman"/>
              </w:rPr>
            </w:pPr>
            <w:r w:rsidRPr="00584929">
              <w:rPr>
                <w:rFonts w:ascii="Times New Roman" w:hAnsi="Times New Roman" w:cs="Times New Roman"/>
              </w:rPr>
              <w:t>Ministerstwo Spraw Wewnętrznych i Administracji</w:t>
            </w:r>
          </w:p>
          <w:p w14:paraId="168AE817" w14:textId="2352783B" w:rsidR="000414C3" w:rsidRPr="00584929" w:rsidRDefault="000414C3" w:rsidP="004A29FC">
            <w:pPr>
              <w:rPr>
                <w:rFonts w:ascii="Times New Roman" w:hAnsi="Times New Roman" w:cs="Times New Roman"/>
              </w:rPr>
            </w:pPr>
          </w:p>
        </w:tc>
        <w:tc>
          <w:tcPr>
            <w:tcW w:w="1526" w:type="dxa"/>
            <w:shd w:val="clear" w:color="auto" w:fill="auto"/>
          </w:tcPr>
          <w:p w14:paraId="69F672A0" w14:textId="74B2ED8A" w:rsidR="000414C3" w:rsidRPr="00584929" w:rsidRDefault="000414C3" w:rsidP="004A29FC">
            <w:pPr>
              <w:rPr>
                <w:rFonts w:ascii="Times New Roman" w:hAnsi="Times New Roman" w:cs="Times New Roman"/>
              </w:rPr>
            </w:pPr>
            <w:r w:rsidRPr="00584929">
              <w:rPr>
                <w:rFonts w:ascii="Times New Roman" w:hAnsi="Times New Roman" w:cs="Times New Roman"/>
              </w:rPr>
              <w:t xml:space="preserve">Uwaga ogólna  </w:t>
            </w:r>
          </w:p>
        </w:tc>
        <w:tc>
          <w:tcPr>
            <w:tcW w:w="5323" w:type="dxa"/>
            <w:shd w:val="clear" w:color="auto" w:fill="auto"/>
          </w:tcPr>
          <w:p w14:paraId="2E984DC6" w14:textId="2F0093B2" w:rsidR="000414C3" w:rsidRPr="00584929" w:rsidRDefault="000414C3" w:rsidP="003F6C60">
            <w:pPr>
              <w:jc w:val="both"/>
              <w:rPr>
                <w:rFonts w:ascii="Times New Roman" w:hAnsi="Times New Roman" w:cs="Times New Roman"/>
              </w:rPr>
            </w:pPr>
            <w:r w:rsidRPr="00584929">
              <w:rPr>
                <w:rFonts w:ascii="Times New Roman" w:hAnsi="Times New Roman" w:cs="Times New Roman"/>
              </w:rPr>
              <w:t>Projekt ustawy nie definiuje pojęcia „osoby pełniącej funkcje publiczne”, co może budzić wątpliwości w kontekście definicji funkcjonariusza publicznego zawartej w art. 115 § 13  ustawy – Kodeks karny. Proponuje się uzupełnić przedmiotowy projekt o stosowne wyjaśnienie tego pojęcia.</w:t>
            </w:r>
          </w:p>
        </w:tc>
        <w:tc>
          <w:tcPr>
            <w:tcW w:w="4785" w:type="dxa"/>
            <w:shd w:val="clear" w:color="auto" w:fill="auto"/>
          </w:tcPr>
          <w:p w14:paraId="6830E49C" w14:textId="51CA0E9D" w:rsidR="005467B9" w:rsidRPr="00584929" w:rsidRDefault="000414C3" w:rsidP="004A29FC">
            <w:pPr>
              <w:rPr>
                <w:rFonts w:ascii="Times New Roman" w:hAnsi="Times New Roman" w:cs="Times New Roman"/>
                <w:b/>
              </w:rPr>
            </w:pPr>
            <w:r w:rsidRPr="00584929">
              <w:rPr>
                <w:rFonts w:ascii="Times New Roman" w:hAnsi="Times New Roman" w:cs="Times New Roman"/>
                <w:b/>
              </w:rPr>
              <w:t>Uwaga nieuwzględniona</w:t>
            </w:r>
          </w:p>
          <w:p w14:paraId="23EC831E" w14:textId="6DAD8E94" w:rsidR="005467B9" w:rsidRPr="00584929" w:rsidRDefault="005467B9" w:rsidP="004A29FC">
            <w:pPr>
              <w:rPr>
                <w:rFonts w:ascii="Times New Roman" w:hAnsi="Times New Roman" w:cs="Times New Roman"/>
              </w:rPr>
            </w:pPr>
            <w:r w:rsidRPr="00584929">
              <w:rPr>
                <w:rFonts w:ascii="Times New Roman" w:hAnsi="Times New Roman" w:cs="Times New Roman"/>
              </w:rPr>
              <w:t>Uwaga poza zakresem projektowanej ustawy.</w:t>
            </w:r>
          </w:p>
        </w:tc>
      </w:tr>
      <w:tr w:rsidR="004873A1" w:rsidRPr="00584929" w14:paraId="60FF3877" w14:textId="77777777" w:rsidTr="00D94ED7">
        <w:tc>
          <w:tcPr>
            <w:tcW w:w="676" w:type="dxa"/>
            <w:shd w:val="clear" w:color="auto" w:fill="auto"/>
          </w:tcPr>
          <w:p w14:paraId="5FFD44C3"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1243D84A" w14:textId="41ADF2D9" w:rsidR="004873A1" w:rsidRPr="00584929" w:rsidRDefault="00E91D91"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4FCD547E" w14:textId="6A2569C7" w:rsidR="004873A1" w:rsidRPr="00584929" w:rsidRDefault="00E91D91" w:rsidP="004A29FC">
            <w:pPr>
              <w:rPr>
                <w:rFonts w:ascii="Times New Roman" w:hAnsi="Times New Roman" w:cs="Times New Roman"/>
              </w:rPr>
            </w:pPr>
            <w:r w:rsidRPr="00584929">
              <w:rPr>
                <w:rFonts w:ascii="Times New Roman" w:hAnsi="Times New Roman" w:cs="Times New Roman"/>
              </w:rPr>
              <w:t>OSR pkt 4</w:t>
            </w:r>
          </w:p>
        </w:tc>
        <w:tc>
          <w:tcPr>
            <w:tcW w:w="5323" w:type="dxa"/>
            <w:shd w:val="clear" w:color="auto" w:fill="auto"/>
          </w:tcPr>
          <w:p w14:paraId="132F35CD" w14:textId="56933A7C" w:rsidR="00E91D91" w:rsidRPr="00584929" w:rsidRDefault="00E91D91" w:rsidP="003F6C60">
            <w:pPr>
              <w:jc w:val="both"/>
              <w:rPr>
                <w:rFonts w:ascii="Times New Roman" w:hAnsi="Times New Roman" w:cs="Times New Roman"/>
              </w:rPr>
            </w:pPr>
            <w:r w:rsidRPr="00584929">
              <w:rPr>
                <w:rFonts w:ascii="Times New Roman" w:hAnsi="Times New Roman" w:cs="Times New Roman"/>
              </w:rPr>
              <w:t>W OSR w punkcie 4 „Podmioty na które oddziałuje projekt” podano niewłaściwą liczbę jednostek samorządu terytorialnego. Według stanu na 1 stycznia 2020 r. liczba jednostek samorządu terytorialnego wynosi 2807, z tego gmin - 2411, miast na prawach powiatu - 66, powiatów - 314 i województw - 16.</w:t>
            </w:r>
          </w:p>
        </w:tc>
        <w:tc>
          <w:tcPr>
            <w:tcW w:w="4785" w:type="dxa"/>
            <w:shd w:val="clear" w:color="auto" w:fill="auto"/>
          </w:tcPr>
          <w:p w14:paraId="7169FC12" w14:textId="77777777" w:rsidR="004873A1" w:rsidRPr="00584929" w:rsidRDefault="00E91D91" w:rsidP="004A29FC">
            <w:pPr>
              <w:rPr>
                <w:rFonts w:ascii="Times New Roman" w:hAnsi="Times New Roman" w:cs="Times New Roman"/>
                <w:b/>
              </w:rPr>
            </w:pPr>
            <w:r w:rsidRPr="00584929">
              <w:rPr>
                <w:rFonts w:ascii="Times New Roman" w:hAnsi="Times New Roman" w:cs="Times New Roman"/>
                <w:b/>
              </w:rPr>
              <w:t>Uwaga uwzględniona</w:t>
            </w:r>
          </w:p>
          <w:p w14:paraId="152FACA7" w14:textId="6F6DB92B" w:rsidR="00ED1B23" w:rsidRPr="00584929" w:rsidRDefault="00ED1B23" w:rsidP="004A29FC">
            <w:pPr>
              <w:rPr>
                <w:rFonts w:ascii="Times New Roman" w:hAnsi="Times New Roman" w:cs="Times New Roman"/>
              </w:rPr>
            </w:pPr>
            <w:r w:rsidRPr="00584929">
              <w:rPr>
                <w:rFonts w:ascii="Times New Roman" w:hAnsi="Times New Roman" w:cs="Times New Roman"/>
              </w:rPr>
              <w:t xml:space="preserve">OSR zostanie zmieniony.  </w:t>
            </w:r>
          </w:p>
        </w:tc>
      </w:tr>
      <w:tr w:rsidR="002F4B0B" w:rsidRPr="00584929" w14:paraId="7B2B2270" w14:textId="77777777" w:rsidTr="00D94ED7">
        <w:tc>
          <w:tcPr>
            <w:tcW w:w="676" w:type="dxa"/>
            <w:shd w:val="clear" w:color="auto" w:fill="auto"/>
          </w:tcPr>
          <w:p w14:paraId="5D81EDAE" w14:textId="77777777" w:rsidR="002F4B0B" w:rsidRPr="00584929" w:rsidRDefault="002F4B0B" w:rsidP="004A29FC">
            <w:pPr>
              <w:pStyle w:val="Akapitzlist"/>
              <w:numPr>
                <w:ilvl w:val="0"/>
                <w:numId w:val="20"/>
              </w:numPr>
              <w:rPr>
                <w:sz w:val="22"/>
                <w:szCs w:val="22"/>
              </w:rPr>
            </w:pPr>
          </w:p>
        </w:tc>
        <w:tc>
          <w:tcPr>
            <w:tcW w:w="1968" w:type="dxa"/>
            <w:shd w:val="clear" w:color="auto" w:fill="auto"/>
          </w:tcPr>
          <w:p w14:paraId="1890610D" w14:textId="77777777" w:rsidR="002F4B0B" w:rsidRPr="00584929" w:rsidRDefault="002F4B0B" w:rsidP="004A29FC">
            <w:pPr>
              <w:rPr>
                <w:rFonts w:ascii="Times New Roman" w:hAnsi="Times New Roman" w:cs="Times New Roman"/>
              </w:rPr>
            </w:pPr>
            <w:r w:rsidRPr="00584929">
              <w:rPr>
                <w:rFonts w:ascii="Times New Roman" w:hAnsi="Times New Roman" w:cs="Times New Roman"/>
              </w:rPr>
              <w:t>Ministerstwo Infrastruktury</w:t>
            </w:r>
          </w:p>
          <w:p w14:paraId="5C881350" w14:textId="6FCFF900" w:rsidR="002F4B0B" w:rsidRPr="00584929" w:rsidRDefault="002F4B0B" w:rsidP="004A29FC">
            <w:pPr>
              <w:rPr>
                <w:rFonts w:ascii="Times New Roman" w:hAnsi="Times New Roman" w:cs="Times New Roman"/>
              </w:rPr>
            </w:pPr>
          </w:p>
        </w:tc>
        <w:tc>
          <w:tcPr>
            <w:tcW w:w="1526" w:type="dxa"/>
            <w:shd w:val="clear" w:color="auto" w:fill="auto"/>
          </w:tcPr>
          <w:p w14:paraId="6B59BB80" w14:textId="0586FCAF" w:rsidR="002F4B0B" w:rsidRPr="00584929" w:rsidRDefault="002F4B0B" w:rsidP="004A29FC">
            <w:pPr>
              <w:rPr>
                <w:rFonts w:ascii="Times New Roman" w:hAnsi="Times New Roman" w:cs="Times New Roman"/>
              </w:rPr>
            </w:pPr>
            <w:r w:rsidRPr="00584929">
              <w:rPr>
                <w:rFonts w:ascii="Times New Roman" w:hAnsi="Times New Roman" w:cs="Times New Roman"/>
              </w:rPr>
              <w:t>OSR pkt 4</w:t>
            </w:r>
          </w:p>
        </w:tc>
        <w:tc>
          <w:tcPr>
            <w:tcW w:w="5323" w:type="dxa"/>
            <w:shd w:val="clear" w:color="auto" w:fill="auto"/>
          </w:tcPr>
          <w:p w14:paraId="6CBC0C64" w14:textId="77777777" w:rsidR="002F4B0B" w:rsidRPr="00584929" w:rsidRDefault="002F4B0B" w:rsidP="003F6C60">
            <w:pPr>
              <w:jc w:val="both"/>
              <w:rPr>
                <w:rFonts w:ascii="Times New Roman" w:hAnsi="Times New Roman" w:cs="Times New Roman"/>
              </w:rPr>
            </w:pPr>
            <w:r w:rsidRPr="00584929">
              <w:rPr>
                <w:rFonts w:ascii="Times New Roman" w:hAnsi="Times New Roman" w:cs="Times New Roman"/>
              </w:rPr>
              <w:t>Ponadto w Ocenie Skutków Regulacji projektu, na str. 76, wśród podmiotów, na które oddziałuje projektowana ustawa, wymieniono jedynie „Przedsiębiorstwa publiczne działające w obszarze transportu kolejowego – pasażerskiego”. W tym samym miejscu doprecyzowano, że będzie to 12 operatorów przewozów pasażerskich, którzy mają zawarte umowy o świadczenie usług publicznych z: ministrem właściwym ds. transportu, marszałkami województw i Prezydentem m.st. Warszawy.</w:t>
            </w:r>
          </w:p>
          <w:p w14:paraId="05344CEC" w14:textId="77777777" w:rsidR="002F4B0B" w:rsidRPr="00584929" w:rsidRDefault="002F4B0B" w:rsidP="003F6C60">
            <w:pPr>
              <w:jc w:val="both"/>
              <w:rPr>
                <w:rFonts w:ascii="Times New Roman" w:hAnsi="Times New Roman" w:cs="Times New Roman"/>
              </w:rPr>
            </w:pPr>
            <w:r w:rsidRPr="00584929">
              <w:rPr>
                <w:rFonts w:ascii="Times New Roman" w:hAnsi="Times New Roman" w:cs="Times New Roman"/>
              </w:rPr>
              <w:t xml:space="preserve">Tymczasem z treści art. 3 pkt. 5 lit. a projektu wynika, że będą to również zarządcy infrastruktury. </w:t>
            </w:r>
          </w:p>
          <w:p w14:paraId="2E40A6D4" w14:textId="4C7CC036" w:rsidR="002F4B0B" w:rsidRPr="00584929" w:rsidRDefault="002F4B0B" w:rsidP="003F6C60">
            <w:pPr>
              <w:jc w:val="both"/>
              <w:rPr>
                <w:rFonts w:ascii="Times New Roman" w:hAnsi="Times New Roman" w:cs="Times New Roman"/>
              </w:rPr>
            </w:pPr>
            <w:r w:rsidRPr="00584929">
              <w:rPr>
                <w:rFonts w:ascii="Times New Roman" w:hAnsi="Times New Roman" w:cs="Times New Roman"/>
              </w:rPr>
              <w:t>Art. 3. Podmiotami zobowiązanymi do udostępniania lub przekazywania informacji sektora publicznego w celu ponownego wykorzystania są:</w:t>
            </w:r>
            <w:r w:rsidR="000E4A06" w:rsidRPr="00584929">
              <w:rPr>
                <w:rFonts w:ascii="Times New Roman" w:hAnsi="Times New Roman" w:cs="Times New Roman"/>
              </w:rPr>
              <w:t xml:space="preserve"> </w:t>
            </w:r>
            <w:r w:rsidRPr="00584929">
              <w:rPr>
                <w:rFonts w:ascii="Times New Roman" w:hAnsi="Times New Roman" w:cs="Times New Roman"/>
              </w:rPr>
              <w:t>5) inne niż określone w pkt 1-4 podmioty, które:</w:t>
            </w:r>
          </w:p>
          <w:p w14:paraId="014CE78B" w14:textId="23552CCD" w:rsidR="002F4B0B" w:rsidRPr="00584929" w:rsidRDefault="002F4B0B" w:rsidP="003F6C60">
            <w:pPr>
              <w:jc w:val="both"/>
              <w:rPr>
                <w:rFonts w:ascii="Times New Roman" w:hAnsi="Times New Roman" w:cs="Times New Roman"/>
              </w:rPr>
            </w:pPr>
            <w:r w:rsidRPr="00584929">
              <w:rPr>
                <w:rFonts w:ascii="Times New Roman" w:hAnsi="Times New Roman" w:cs="Times New Roman"/>
              </w:rPr>
              <w:t>a) wykonują jeden z rodz</w:t>
            </w:r>
            <w:r w:rsidR="00ED1B23" w:rsidRPr="00584929">
              <w:rPr>
                <w:rFonts w:ascii="Times New Roman" w:hAnsi="Times New Roman" w:cs="Times New Roman"/>
              </w:rPr>
              <w:t>ajów działalności sektorowej, o </w:t>
            </w:r>
            <w:r w:rsidRPr="00584929">
              <w:rPr>
                <w:rFonts w:ascii="Times New Roman" w:hAnsi="Times New Roman" w:cs="Times New Roman"/>
              </w:rPr>
              <w:t>której mowa w art. 5 ust. 4 ustawy z dnia 11 września 2019 r. – Prawo zamówień publicznych (Dz. U. z 2019 r. poz. 2019 oraz z 2020 r. poz. 288)</w:t>
            </w:r>
            <w:r w:rsidR="000E4A06" w:rsidRPr="00584929">
              <w:rPr>
                <w:rFonts w:ascii="Times New Roman" w:hAnsi="Times New Roman" w:cs="Times New Roman"/>
              </w:rPr>
              <w:t>.</w:t>
            </w:r>
          </w:p>
          <w:p w14:paraId="7E5B5F69" w14:textId="6FDEA43C" w:rsidR="002F4B0B" w:rsidRPr="00584929" w:rsidRDefault="002F4B0B" w:rsidP="003F6C60">
            <w:pPr>
              <w:jc w:val="both"/>
              <w:rPr>
                <w:rFonts w:ascii="Times New Roman" w:hAnsi="Times New Roman" w:cs="Times New Roman"/>
              </w:rPr>
            </w:pPr>
            <w:r w:rsidRPr="00584929">
              <w:rPr>
                <w:rFonts w:ascii="Times New Roman" w:hAnsi="Times New Roman" w:cs="Times New Roman"/>
              </w:rPr>
              <w:t xml:space="preserve">Natomiast zgodnie z art. 5 ust. 4 ustawy z dnia 11 września 2019 r. – Prawo zamówień publicznych, działalnością sektorową w zakresie „usług transportowych jest działalność polegająca na udostępnianiu lub obsłudze sieci </w:t>
            </w:r>
            <w:r w:rsidRPr="00584929">
              <w:rPr>
                <w:rFonts w:ascii="Times New Roman" w:hAnsi="Times New Roman" w:cs="Times New Roman"/>
              </w:rPr>
              <w:lastRenderedPageBreak/>
              <w:t xml:space="preserve">przeznaczonych do </w:t>
            </w:r>
            <w:r w:rsidR="00ED1B23" w:rsidRPr="00584929">
              <w:rPr>
                <w:rFonts w:ascii="Times New Roman" w:hAnsi="Times New Roman" w:cs="Times New Roman"/>
              </w:rPr>
              <w:t>świadczenia usług publicznych w </w:t>
            </w:r>
            <w:r w:rsidRPr="00584929">
              <w:rPr>
                <w:rFonts w:ascii="Times New Roman" w:hAnsi="Times New Roman" w:cs="Times New Roman"/>
              </w:rPr>
              <w:t>zakresie transportu kolejowego, tramwajowego, trolejbusowego, autobusowego, koleją linową lub przy użyciu systemów automatycznych”.</w:t>
            </w:r>
          </w:p>
          <w:p w14:paraId="12684DE3" w14:textId="6B5BDEA1" w:rsidR="002F4B0B" w:rsidRPr="00584929" w:rsidRDefault="002F4B0B" w:rsidP="003F6C60">
            <w:pPr>
              <w:jc w:val="both"/>
              <w:rPr>
                <w:rFonts w:ascii="Times New Roman" w:hAnsi="Times New Roman" w:cs="Times New Roman"/>
              </w:rPr>
            </w:pPr>
            <w:r w:rsidRPr="00584929">
              <w:rPr>
                <w:rFonts w:ascii="Times New Roman" w:hAnsi="Times New Roman" w:cs="Times New Roman"/>
              </w:rPr>
              <w:t>Działalność polegająca na udostępnianiu lub obsłudze sieci przeznaczonych do św</w:t>
            </w:r>
            <w:r w:rsidR="00ED1B23" w:rsidRPr="00584929">
              <w:rPr>
                <w:rFonts w:ascii="Times New Roman" w:hAnsi="Times New Roman" w:cs="Times New Roman"/>
              </w:rPr>
              <w:t>iadczenia usług publicznych w </w:t>
            </w:r>
            <w:r w:rsidRPr="00584929">
              <w:rPr>
                <w:rFonts w:ascii="Times New Roman" w:hAnsi="Times New Roman" w:cs="Times New Roman"/>
              </w:rPr>
              <w:t>zakresie transportu kolejowego świadczą zarządcy infrastruktury, w szczególności PKP Polskie Linie Kolejowe S.A.</w:t>
            </w:r>
          </w:p>
          <w:p w14:paraId="4680BD87" w14:textId="46B2ABE5" w:rsidR="002F4B0B" w:rsidRPr="00584929" w:rsidRDefault="002F4B0B" w:rsidP="003F6C60">
            <w:pPr>
              <w:jc w:val="both"/>
              <w:rPr>
                <w:rFonts w:ascii="Times New Roman" w:hAnsi="Times New Roman" w:cs="Times New Roman"/>
              </w:rPr>
            </w:pPr>
            <w:r w:rsidRPr="00584929">
              <w:rPr>
                <w:rFonts w:ascii="Times New Roman" w:hAnsi="Times New Roman" w:cs="Times New Roman"/>
              </w:rPr>
              <w:t>Uzupełnienie OSR o z</w:t>
            </w:r>
            <w:r w:rsidR="00ED1B23" w:rsidRPr="00584929">
              <w:rPr>
                <w:rFonts w:ascii="Times New Roman" w:hAnsi="Times New Roman" w:cs="Times New Roman"/>
              </w:rPr>
              <w:t>arządców infrastruktury, jako o </w:t>
            </w:r>
            <w:r w:rsidRPr="00584929">
              <w:rPr>
                <w:rFonts w:ascii="Times New Roman" w:hAnsi="Times New Roman" w:cs="Times New Roman"/>
              </w:rPr>
              <w:t xml:space="preserve">podmioty, na które oddziałuje projekt jest bardzo istotne. Zarządcy infrastruktury dysponują bowiem bardzo dużą ilością danych na temat </w:t>
            </w:r>
            <w:r w:rsidR="00ED1B23" w:rsidRPr="00584929">
              <w:rPr>
                <w:rFonts w:ascii="Times New Roman" w:hAnsi="Times New Roman" w:cs="Times New Roman"/>
              </w:rPr>
              <w:t>rynku przewozów pasażerskich, w </w:t>
            </w:r>
            <w:r w:rsidRPr="00584929">
              <w:rPr>
                <w:rFonts w:ascii="Times New Roman" w:hAnsi="Times New Roman" w:cs="Times New Roman"/>
              </w:rPr>
              <w:t>tym rozkładami jazdy, które po ich udostępnieniu mogą stanowić cenne informacje dla podmiotów przetwarzających dane, tworzących aplikacje pomagające pasażerom itp.</w:t>
            </w:r>
          </w:p>
          <w:p w14:paraId="53F3C97F" w14:textId="76257B81" w:rsidR="002F4B0B" w:rsidRPr="00584929" w:rsidRDefault="002F4B0B" w:rsidP="003F6C60">
            <w:pPr>
              <w:jc w:val="both"/>
              <w:rPr>
                <w:rFonts w:ascii="Times New Roman" w:hAnsi="Times New Roman" w:cs="Times New Roman"/>
              </w:rPr>
            </w:pPr>
            <w:r w:rsidRPr="00584929">
              <w:rPr>
                <w:rFonts w:ascii="Times New Roman" w:hAnsi="Times New Roman" w:cs="Times New Roman"/>
              </w:rPr>
              <w:t>W związku z powyższym, zapis w OSR powinien wsk</w:t>
            </w:r>
            <w:r w:rsidR="003F6C60" w:rsidRPr="00584929">
              <w:rPr>
                <w:rFonts w:ascii="Times New Roman" w:hAnsi="Times New Roman" w:cs="Times New Roman"/>
              </w:rPr>
              <w:t>azywać, że projekt oddziałuje w </w:t>
            </w:r>
            <w:r w:rsidRPr="00584929">
              <w:rPr>
                <w:rFonts w:ascii="Times New Roman" w:hAnsi="Times New Roman" w:cs="Times New Roman"/>
              </w:rPr>
              <w:t xml:space="preserve">szczególności na zarządców infrastruktury, o których mowa w art. 38a ust. </w:t>
            </w:r>
            <w:r w:rsidR="003F6C60" w:rsidRPr="00584929">
              <w:rPr>
                <w:rFonts w:ascii="Times New Roman" w:hAnsi="Times New Roman" w:cs="Times New Roman"/>
              </w:rPr>
              <w:t>1 ustawy o </w:t>
            </w:r>
            <w:r w:rsidRPr="00584929">
              <w:rPr>
                <w:rFonts w:ascii="Times New Roman" w:hAnsi="Times New Roman" w:cs="Times New Roman"/>
              </w:rPr>
              <w:t>transporcie kolejowym. W szczególności chodzi o zarządców infrastruktury, których działalność nie może być sfinans</w:t>
            </w:r>
            <w:r w:rsidR="00ED1B23" w:rsidRPr="00584929">
              <w:rPr>
                <w:rFonts w:ascii="Times New Roman" w:hAnsi="Times New Roman" w:cs="Times New Roman"/>
              </w:rPr>
              <w:t>owana z opłat za korzystanie  z </w:t>
            </w:r>
            <w:r w:rsidRPr="00584929">
              <w:rPr>
                <w:rFonts w:ascii="Times New Roman" w:hAnsi="Times New Roman" w:cs="Times New Roman"/>
              </w:rPr>
              <w:t>infrastruktury kolejowej, a którzy otrzymują dofinansowanie z budżetu państwa lub z Funduszu Kolejowego.</w:t>
            </w:r>
          </w:p>
          <w:p w14:paraId="4A85E4BA" w14:textId="49D467A6" w:rsidR="002F4B0B" w:rsidRPr="00584929" w:rsidRDefault="002F4B0B" w:rsidP="003F6C60">
            <w:pPr>
              <w:jc w:val="both"/>
              <w:rPr>
                <w:rFonts w:ascii="Times New Roman" w:hAnsi="Times New Roman" w:cs="Times New Roman"/>
              </w:rPr>
            </w:pPr>
            <w:r w:rsidRPr="00584929">
              <w:rPr>
                <w:rFonts w:ascii="Times New Roman" w:hAnsi="Times New Roman" w:cs="Times New Roman"/>
              </w:rPr>
              <w:t>Dla porównania, na obszarze Wielkiej Brytanii, właściciel infrastruktury kolejowej przekazywanej pod zarządzanie podmiotom trzecim na podstawie otwartych postępowań przetargowych, przekazuje nieodpłatnie następujące dane dotyczące ruchu kol</w:t>
            </w:r>
            <w:r w:rsidR="00ED1B23" w:rsidRPr="00584929">
              <w:rPr>
                <w:rFonts w:ascii="Times New Roman" w:hAnsi="Times New Roman" w:cs="Times New Roman"/>
              </w:rPr>
              <w:t>ejowego (na podstawie wniosku o </w:t>
            </w:r>
            <w:r w:rsidRPr="00584929">
              <w:rPr>
                <w:rFonts w:ascii="Times New Roman" w:hAnsi="Times New Roman" w:cs="Times New Roman"/>
              </w:rPr>
              <w:t>dostęp do danych zawierający dane osobowe wnioskodawcy, pozwalający na jego weryfikację):</w:t>
            </w:r>
          </w:p>
          <w:p w14:paraId="0DA49A60" w14:textId="77777777" w:rsidR="002F4B0B" w:rsidRPr="00584929" w:rsidRDefault="002F4B0B" w:rsidP="003F6C60">
            <w:pPr>
              <w:numPr>
                <w:ilvl w:val="0"/>
                <w:numId w:val="1"/>
              </w:numPr>
              <w:ind w:left="287"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lastRenderedPageBreak/>
              <w:t>lokalizacja infrastruktury punktowej oraz orientacyjny czas przejazdu pomiędzy infrastrukturą punktową (aktualizowana dwa razy w roku);</w:t>
            </w:r>
          </w:p>
          <w:p w14:paraId="7EC31071" w14:textId="77777777" w:rsidR="002F4B0B" w:rsidRPr="00584929" w:rsidRDefault="002F4B0B" w:rsidP="003F6C60">
            <w:pPr>
              <w:numPr>
                <w:ilvl w:val="0"/>
                <w:numId w:val="1"/>
              </w:numPr>
              <w:ind w:left="287"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charakterystyka infrastruktury punktowej pozwalająca na optymalizację usług przewozowych oraz analizę stanu bieżącego infrastruktury punktowej w zakresie oferowanych usług (aktualizowana raz w miesiącu);</w:t>
            </w:r>
          </w:p>
          <w:p w14:paraId="1C5AA867" w14:textId="6B2503DC" w:rsidR="002F4B0B" w:rsidRPr="00584929" w:rsidRDefault="002F4B0B" w:rsidP="003F6C60">
            <w:pPr>
              <w:numPr>
                <w:ilvl w:val="0"/>
                <w:numId w:val="1"/>
              </w:numPr>
              <w:ind w:left="284"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raport o ruchu pociągów, umożliwiający lokalizowanie wszystkich pociągów na podstawie czasu przyjazdu oraz odjazdu z istniejących na sieci posterunków ruchu (aktualizowany w czasie rzeczywistym), pozwalają</w:t>
            </w:r>
            <w:r w:rsidR="003F6C60" w:rsidRPr="00584929">
              <w:rPr>
                <w:rFonts w:ascii="Times New Roman" w:eastAsia="Calibri" w:hAnsi="Times New Roman" w:cs="Times New Roman"/>
                <w:lang w:eastAsia="pl-PL"/>
              </w:rPr>
              <w:t>cy na odczytywanie informacji o </w:t>
            </w:r>
            <w:r w:rsidRPr="00584929">
              <w:rPr>
                <w:rFonts w:ascii="Times New Roman" w:eastAsia="Calibri" w:hAnsi="Times New Roman" w:cs="Times New Roman"/>
                <w:lang w:eastAsia="pl-PL"/>
              </w:rPr>
              <w:t>zdarzeniach na sieci kolejowej – w przyszłości ma być oparty w głównej mierze w</w:t>
            </w:r>
            <w:r w:rsidR="003F6C60" w:rsidRPr="00584929">
              <w:rPr>
                <w:rFonts w:ascii="Times New Roman" w:eastAsia="Calibri" w:hAnsi="Times New Roman" w:cs="Times New Roman"/>
                <w:lang w:eastAsia="pl-PL"/>
              </w:rPr>
              <w:t> </w:t>
            </w:r>
            <w:r w:rsidRPr="00584929">
              <w:rPr>
                <w:rFonts w:ascii="Times New Roman" w:eastAsia="Calibri" w:hAnsi="Times New Roman" w:cs="Times New Roman"/>
                <w:lang w:eastAsia="pl-PL"/>
              </w:rPr>
              <w:t>oparciu o łączność satelitarną;</w:t>
            </w:r>
          </w:p>
          <w:p w14:paraId="5CFB39E1" w14:textId="2ABA1524" w:rsidR="002F4B0B" w:rsidRPr="00584929" w:rsidRDefault="002F4B0B" w:rsidP="003F6C60">
            <w:pPr>
              <w:numPr>
                <w:ilvl w:val="0"/>
                <w:numId w:val="1"/>
              </w:numPr>
              <w:ind w:left="287"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raport o przepustowości sieci kolejowej, mierzonej jako odsetek pociągów przybywających o czasie do stacji pośrednich o</w:t>
            </w:r>
            <w:r w:rsidR="003F6C60" w:rsidRPr="00584929">
              <w:rPr>
                <w:rFonts w:ascii="Times New Roman" w:eastAsia="Calibri" w:hAnsi="Times New Roman" w:cs="Times New Roman"/>
                <w:lang w:eastAsia="pl-PL"/>
              </w:rPr>
              <w:t>raz docelowych (aktualizowany w </w:t>
            </w:r>
            <w:r w:rsidRPr="00584929">
              <w:rPr>
                <w:rFonts w:ascii="Times New Roman" w:eastAsia="Calibri" w:hAnsi="Times New Roman" w:cs="Times New Roman"/>
                <w:lang w:eastAsia="pl-PL"/>
              </w:rPr>
              <w:t>okresie jednej wiadomości na minutę);</w:t>
            </w:r>
          </w:p>
          <w:p w14:paraId="2CE84B00" w14:textId="5246BAD2" w:rsidR="002F4B0B" w:rsidRPr="00584929" w:rsidRDefault="002F4B0B" w:rsidP="003F6C60">
            <w:pPr>
              <w:numPr>
                <w:ilvl w:val="0"/>
                <w:numId w:val="1"/>
              </w:numPr>
              <w:ind w:left="287"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rozkład jazdy pociągów, przekazywany w formacie .CIF oraz .JSON, umożliwiający codzienną modyfikację elementów rozkładu jazdy, w zależności od prowadzonych prac torowych lub innych zdarzeń na sieci kolejo</w:t>
            </w:r>
            <w:r w:rsidR="003F6C60" w:rsidRPr="00584929">
              <w:rPr>
                <w:rFonts w:ascii="Times New Roman" w:eastAsia="Calibri" w:hAnsi="Times New Roman" w:cs="Times New Roman"/>
                <w:lang w:eastAsia="pl-PL"/>
              </w:rPr>
              <w:t>wej (aktualizowana codziennie w </w:t>
            </w:r>
            <w:r w:rsidRPr="00584929">
              <w:rPr>
                <w:rFonts w:ascii="Times New Roman" w:eastAsia="Calibri" w:hAnsi="Times New Roman" w:cs="Times New Roman"/>
                <w:lang w:eastAsia="pl-PL"/>
              </w:rPr>
              <w:t>nocy);</w:t>
            </w:r>
          </w:p>
          <w:p w14:paraId="669205CE" w14:textId="77FEBDA1" w:rsidR="002F4B0B" w:rsidRPr="00584929" w:rsidRDefault="002F4B0B" w:rsidP="003F6C60">
            <w:pPr>
              <w:numPr>
                <w:ilvl w:val="0"/>
                <w:numId w:val="1"/>
              </w:numPr>
              <w:ind w:left="287"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raport o zajętości linii kolejowych przez tabor poszczególn</w:t>
            </w:r>
            <w:r w:rsidR="00ED1B23" w:rsidRPr="00584929">
              <w:rPr>
                <w:rFonts w:ascii="Times New Roman" w:eastAsia="Calibri" w:hAnsi="Times New Roman" w:cs="Times New Roman"/>
                <w:lang w:eastAsia="pl-PL"/>
              </w:rPr>
              <w:t>ych przewoźników, informujący o </w:t>
            </w:r>
            <w:r w:rsidRPr="00584929">
              <w:rPr>
                <w:rFonts w:ascii="Times New Roman" w:eastAsia="Calibri" w:hAnsi="Times New Roman" w:cs="Times New Roman"/>
                <w:lang w:eastAsia="pl-PL"/>
              </w:rPr>
              <w:t>wykorzystaniu pojazdów przez przewoźników (aktualizowany co miesiąc);</w:t>
            </w:r>
          </w:p>
          <w:p w14:paraId="0AF5A2A1" w14:textId="77777777" w:rsidR="002F4B0B" w:rsidRPr="00584929" w:rsidRDefault="002F4B0B" w:rsidP="003F6C60">
            <w:pPr>
              <w:numPr>
                <w:ilvl w:val="0"/>
                <w:numId w:val="2"/>
              </w:numPr>
              <w:ind w:left="287"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raport o zajętości szlaku, na podstawie odstępów przed sygnalizatorami, każdy pociąg ma przypisany swój indywidualny kod (aktualizowany w czasie rzeczywistym);</w:t>
            </w:r>
          </w:p>
          <w:p w14:paraId="0C6CB875" w14:textId="77777777" w:rsidR="002F4B0B" w:rsidRPr="00584929" w:rsidRDefault="002F4B0B" w:rsidP="003F6C60">
            <w:pPr>
              <w:numPr>
                <w:ilvl w:val="0"/>
                <w:numId w:val="2"/>
              </w:numPr>
              <w:ind w:left="287"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ograniczenia prędkości na sieci (aktualizowane co tydzień, w piątki);</w:t>
            </w:r>
          </w:p>
          <w:p w14:paraId="41ED1C4C" w14:textId="5FA67C02" w:rsidR="002F4B0B" w:rsidRPr="00584929" w:rsidRDefault="002F4B0B" w:rsidP="003F6C60">
            <w:pPr>
              <w:numPr>
                <w:ilvl w:val="0"/>
                <w:numId w:val="2"/>
              </w:numPr>
              <w:ind w:left="287"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 xml:space="preserve">baza rozkładów </w:t>
            </w:r>
            <w:r w:rsidR="00ED1B23" w:rsidRPr="00584929">
              <w:rPr>
                <w:rFonts w:ascii="Times New Roman" w:eastAsia="Calibri" w:hAnsi="Times New Roman" w:cs="Times New Roman"/>
                <w:lang w:eastAsia="pl-PL"/>
              </w:rPr>
              <w:t>jazdy pociągów (aktualizowana w </w:t>
            </w:r>
            <w:r w:rsidRPr="00584929">
              <w:rPr>
                <w:rFonts w:ascii="Times New Roman" w:eastAsia="Calibri" w:hAnsi="Times New Roman" w:cs="Times New Roman"/>
                <w:lang w:eastAsia="pl-PL"/>
              </w:rPr>
              <w:t>czasie rzeczywistym);</w:t>
            </w:r>
          </w:p>
          <w:p w14:paraId="40636780" w14:textId="536C353E" w:rsidR="002F4B0B" w:rsidRPr="00584929" w:rsidRDefault="002F4B0B" w:rsidP="003F6C60">
            <w:pPr>
              <w:numPr>
                <w:ilvl w:val="0"/>
                <w:numId w:val="2"/>
              </w:numPr>
              <w:ind w:left="287" w:hanging="284"/>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lastRenderedPageBreak/>
              <w:t>model infrastrukt</w:t>
            </w:r>
            <w:r w:rsidR="00ED1B23" w:rsidRPr="00584929">
              <w:rPr>
                <w:rFonts w:ascii="Times New Roman" w:eastAsia="Calibri" w:hAnsi="Times New Roman" w:cs="Times New Roman"/>
                <w:lang w:eastAsia="pl-PL"/>
              </w:rPr>
              <w:t>ury (aktualizowany codziennie w </w:t>
            </w:r>
            <w:r w:rsidRPr="00584929">
              <w:rPr>
                <w:rFonts w:ascii="Times New Roman" w:eastAsia="Calibri" w:hAnsi="Times New Roman" w:cs="Times New Roman"/>
                <w:lang w:eastAsia="pl-PL"/>
              </w:rPr>
              <w:t>nocy).</w:t>
            </w:r>
          </w:p>
          <w:p w14:paraId="408675D0" w14:textId="4A2CDF88" w:rsidR="002F4B0B" w:rsidRPr="00584929" w:rsidRDefault="002F4B0B" w:rsidP="003F6C60">
            <w:pPr>
              <w:rPr>
                <w:rFonts w:ascii="Times New Roman" w:hAnsi="Times New Roman" w:cs="Times New Roman"/>
              </w:rPr>
            </w:pPr>
            <w:r w:rsidRPr="00584929">
              <w:rPr>
                <w:rFonts w:ascii="Times New Roman" w:hAnsi="Times New Roman" w:cs="Times New Roman"/>
              </w:rPr>
              <w:t xml:space="preserve">(Źródło: </w:t>
            </w:r>
            <w:hyperlink r:id="rId9" w:history="1">
              <w:r w:rsidR="003F6C60" w:rsidRPr="00584929">
                <w:rPr>
                  <w:rStyle w:val="Hipercze"/>
                  <w:rFonts w:ascii="Times New Roman" w:hAnsi="Times New Roman" w:cs="Times New Roman"/>
                </w:rPr>
                <w:t>https://www.networkrail.co.uk/who-we-are/transparency-and-ethics/transparency/open-data-feeds/</w:t>
              </w:r>
            </w:hyperlink>
            <w:r w:rsidRPr="00584929">
              <w:rPr>
                <w:rFonts w:ascii="Times New Roman" w:hAnsi="Times New Roman" w:cs="Times New Roman"/>
              </w:rPr>
              <w:t>)</w:t>
            </w:r>
          </w:p>
          <w:p w14:paraId="6C7B1CBA" w14:textId="0FE6C3AC" w:rsidR="002F4B0B" w:rsidRPr="00584929" w:rsidRDefault="002F4B0B" w:rsidP="003F6C60">
            <w:pPr>
              <w:jc w:val="both"/>
              <w:rPr>
                <w:rFonts w:ascii="Times New Roman" w:hAnsi="Times New Roman" w:cs="Times New Roman"/>
              </w:rPr>
            </w:pPr>
            <w:r w:rsidRPr="00584929">
              <w:rPr>
                <w:rFonts w:ascii="Times New Roman" w:hAnsi="Times New Roman" w:cs="Times New Roman"/>
              </w:rPr>
              <w:t>W związku z powyższym w OSR projektu powinni zostać również wymienieni zarządcy infrastruktury, przynajmniej ci, którzy</w:t>
            </w:r>
            <w:r w:rsidR="00ED1B23" w:rsidRPr="00584929">
              <w:rPr>
                <w:rFonts w:ascii="Times New Roman" w:hAnsi="Times New Roman" w:cs="Times New Roman"/>
              </w:rPr>
              <w:t xml:space="preserve"> na podstawie art. 38a ustawy o </w:t>
            </w:r>
            <w:r w:rsidRPr="00584929">
              <w:rPr>
                <w:rFonts w:ascii="Times New Roman" w:hAnsi="Times New Roman" w:cs="Times New Roman"/>
              </w:rPr>
              <w:t>transporcie kolejowy</w:t>
            </w:r>
            <w:r w:rsidR="00ED1B23" w:rsidRPr="00584929">
              <w:rPr>
                <w:rFonts w:ascii="Times New Roman" w:hAnsi="Times New Roman" w:cs="Times New Roman"/>
              </w:rPr>
              <w:t>m otrzymują dofinansowanie z </w:t>
            </w:r>
            <w:r w:rsidRPr="00584929">
              <w:rPr>
                <w:rFonts w:ascii="Times New Roman" w:hAnsi="Times New Roman" w:cs="Times New Roman"/>
              </w:rPr>
              <w:t>budżetu państwa lub z Funduszu Kolejowego.</w:t>
            </w:r>
          </w:p>
        </w:tc>
        <w:tc>
          <w:tcPr>
            <w:tcW w:w="4785" w:type="dxa"/>
            <w:shd w:val="clear" w:color="auto" w:fill="auto"/>
          </w:tcPr>
          <w:p w14:paraId="5F65A65F" w14:textId="77777777" w:rsidR="002F4B0B" w:rsidRPr="00584929" w:rsidRDefault="000E4A06" w:rsidP="004A29FC">
            <w:pPr>
              <w:rPr>
                <w:rFonts w:ascii="Times New Roman" w:hAnsi="Times New Roman" w:cs="Times New Roman"/>
                <w:b/>
              </w:rPr>
            </w:pPr>
            <w:r w:rsidRPr="00584929">
              <w:rPr>
                <w:rFonts w:ascii="Times New Roman" w:hAnsi="Times New Roman" w:cs="Times New Roman"/>
                <w:b/>
              </w:rPr>
              <w:lastRenderedPageBreak/>
              <w:t>Uwaga uwzględniona</w:t>
            </w:r>
          </w:p>
          <w:p w14:paraId="4A09F5E5" w14:textId="49D484D5" w:rsidR="00ED1B23" w:rsidRPr="00584929" w:rsidRDefault="00ED1B23" w:rsidP="00ED1B23">
            <w:pPr>
              <w:rPr>
                <w:rFonts w:ascii="Times New Roman" w:hAnsi="Times New Roman" w:cs="Times New Roman"/>
              </w:rPr>
            </w:pPr>
            <w:r w:rsidRPr="00584929">
              <w:rPr>
                <w:rFonts w:ascii="Times New Roman" w:hAnsi="Times New Roman" w:cs="Times New Roman"/>
              </w:rPr>
              <w:t xml:space="preserve">Informacja zostanie dodana do OSR. </w:t>
            </w:r>
          </w:p>
        </w:tc>
      </w:tr>
      <w:tr w:rsidR="000E4A06" w:rsidRPr="00584929" w14:paraId="387A17F0" w14:textId="77777777" w:rsidTr="00D94ED7">
        <w:tc>
          <w:tcPr>
            <w:tcW w:w="676" w:type="dxa"/>
            <w:shd w:val="clear" w:color="auto" w:fill="auto"/>
          </w:tcPr>
          <w:p w14:paraId="7805A038" w14:textId="77777777" w:rsidR="000E4A06" w:rsidRPr="00584929" w:rsidRDefault="000E4A06" w:rsidP="004A29FC">
            <w:pPr>
              <w:pStyle w:val="Akapitzlist"/>
              <w:numPr>
                <w:ilvl w:val="0"/>
                <w:numId w:val="20"/>
              </w:numPr>
              <w:rPr>
                <w:sz w:val="22"/>
                <w:szCs w:val="22"/>
              </w:rPr>
            </w:pPr>
          </w:p>
        </w:tc>
        <w:tc>
          <w:tcPr>
            <w:tcW w:w="1968" w:type="dxa"/>
            <w:shd w:val="clear" w:color="auto" w:fill="auto"/>
          </w:tcPr>
          <w:p w14:paraId="0AE085AC" w14:textId="3B0BE319" w:rsidR="000E4A06" w:rsidRPr="00584929" w:rsidRDefault="000E4A06" w:rsidP="004A29FC">
            <w:pPr>
              <w:rPr>
                <w:rFonts w:ascii="Times New Roman" w:hAnsi="Times New Roman" w:cs="Times New Roman"/>
              </w:rPr>
            </w:pPr>
            <w:r w:rsidRPr="00584929">
              <w:rPr>
                <w:rFonts w:ascii="Times New Roman" w:hAnsi="Times New Roman" w:cs="Times New Roman"/>
              </w:rPr>
              <w:t>Ministerstwo Rozwoju</w:t>
            </w:r>
          </w:p>
        </w:tc>
        <w:tc>
          <w:tcPr>
            <w:tcW w:w="1526" w:type="dxa"/>
            <w:shd w:val="clear" w:color="auto" w:fill="auto"/>
          </w:tcPr>
          <w:p w14:paraId="032E5AE7" w14:textId="77777777" w:rsidR="000E4A06" w:rsidRPr="00584929" w:rsidRDefault="000E4A06" w:rsidP="004A29FC">
            <w:pPr>
              <w:rPr>
                <w:rFonts w:ascii="Times New Roman" w:hAnsi="Times New Roman" w:cs="Times New Roman"/>
              </w:rPr>
            </w:pPr>
            <w:r w:rsidRPr="00584929">
              <w:rPr>
                <w:rFonts w:ascii="Times New Roman" w:hAnsi="Times New Roman" w:cs="Times New Roman"/>
              </w:rPr>
              <w:t>OSR pkt 4</w:t>
            </w:r>
          </w:p>
          <w:p w14:paraId="2461EF17" w14:textId="77777777" w:rsidR="000E4A06" w:rsidRPr="00584929" w:rsidRDefault="000E4A06" w:rsidP="004A29FC">
            <w:pPr>
              <w:rPr>
                <w:rFonts w:ascii="Times New Roman" w:hAnsi="Times New Roman" w:cs="Times New Roman"/>
              </w:rPr>
            </w:pPr>
          </w:p>
          <w:p w14:paraId="6274DEBD" w14:textId="1F1EFF21" w:rsidR="000E4A06" w:rsidRPr="00584929" w:rsidRDefault="000E4A06" w:rsidP="004A29FC">
            <w:pPr>
              <w:rPr>
                <w:rFonts w:ascii="Times New Roman" w:hAnsi="Times New Roman" w:cs="Times New Roman"/>
              </w:rPr>
            </w:pPr>
          </w:p>
        </w:tc>
        <w:tc>
          <w:tcPr>
            <w:tcW w:w="5323" w:type="dxa"/>
            <w:shd w:val="clear" w:color="auto" w:fill="auto"/>
          </w:tcPr>
          <w:p w14:paraId="0677D4BA" w14:textId="267F00A0" w:rsidR="000E4A06" w:rsidRPr="00584929" w:rsidRDefault="000E4A06" w:rsidP="003F6C60">
            <w:pPr>
              <w:jc w:val="both"/>
              <w:rPr>
                <w:rFonts w:ascii="Times New Roman" w:hAnsi="Times New Roman" w:cs="Times New Roman"/>
              </w:rPr>
            </w:pPr>
            <w:r w:rsidRPr="00584929">
              <w:rPr>
                <w:rFonts w:ascii="Times New Roman" w:hAnsi="Times New Roman" w:cs="Times New Roman"/>
              </w:rPr>
              <w:t xml:space="preserve">W OSR należy ponadto zidentyfikować i uwzględnić wpływ projektu </w:t>
            </w:r>
            <w:r w:rsidR="00ED1B23" w:rsidRPr="00584929">
              <w:rPr>
                <w:rFonts w:ascii="Times New Roman" w:hAnsi="Times New Roman" w:cs="Times New Roman"/>
              </w:rPr>
              <w:t>na konkurencyjność gospodarki i </w:t>
            </w:r>
            <w:r w:rsidRPr="00584929">
              <w:rPr>
                <w:rFonts w:ascii="Times New Roman" w:hAnsi="Times New Roman" w:cs="Times New Roman"/>
              </w:rPr>
              <w:t>przedsiębiorczość, w tym funkcjonowanie przedsiębiorców, a zwłaszcza mikroprzedsiębiorców, małych i średnich przedsiębiorców.</w:t>
            </w:r>
          </w:p>
          <w:p w14:paraId="3E289579" w14:textId="78D16AC6" w:rsidR="000E4A06" w:rsidRPr="00584929" w:rsidRDefault="000E4A06" w:rsidP="003F6C60">
            <w:pPr>
              <w:jc w:val="both"/>
              <w:rPr>
                <w:rFonts w:ascii="Times New Roman" w:hAnsi="Times New Roman" w:cs="Times New Roman"/>
              </w:rPr>
            </w:pPr>
            <w:r w:rsidRPr="00584929">
              <w:rPr>
                <w:rFonts w:ascii="Times New Roman" w:hAnsi="Times New Roman" w:cs="Times New Roman"/>
              </w:rPr>
              <w:t>Treść uzasadnienia proje</w:t>
            </w:r>
            <w:r w:rsidR="00ED1B23" w:rsidRPr="00584929">
              <w:rPr>
                <w:rFonts w:ascii="Times New Roman" w:hAnsi="Times New Roman" w:cs="Times New Roman"/>
              </w:rPr>
              <w:t>ktu zawiera klauzulę, zgodnie z </w:t>
            </w:r>
            <w:r w:rsidRPr="00584929">
              <w:rPr>
                <w:rFonts w:ascii="Times New Roman" w:hAnsi="Times New Roman" w:cs="Times New Roman"/>
              </w:rPr>
              <w:t xml:space="preserve">którą „wejście w życie projektowanej ustawy nie będzie miało wpływu </w:t>
            </w:r>
            <w:r w:rsidR="003F6C60" w:rsidRPr="00584929">
              <w:rPr>
                <w:rFonts w:ascii="Times New Roman" w:hAnsi="Times New Roman" w:cs="Times New Roman"/>
              </w:rPr>
              <w:t>na konkurencyjność gospodarki i </w:t>
            </w:r>
            <w:r w:rsidRPr="00584929">
              <w:rPr>
                <w:rFonts w:ascii="Times New Roman" w:hAnsi="Times New Roman" w:cs="Times New Roman"/>
              </w:rPr>
              <w:t xml:space="preserve">przedsiębiorczość, w tym funkcjonowanie przedsiębiorców, a zwłaszcza mikroprzedsiębiorców, małych </w:t>
            </w:r>
            <w:r w:rsidR="003F6C60" w:rsidRPr="00584929">
              <w:rPr>
                <w:rFonts w:ascii="Times New Roman" w:hAnsi="Times New Roman" w:cs="Times New Roman"/>
              </w:rPr>
              <w:t xml:space="preserve">i średnich przedsiębiorców …”. </w:t>
            </w:r>
            <w:r w:rsidRPr="00584929">
              <w:rPr>
                <w:rFonts w:ascii="Times New Roman" w:hAnsi="Times New Roman" w:cs="Times New Roman"/>
              </w:rPr>
              <w:t>W części 4 OSR zidentyfikowano wpływ projektowanych przepisów na przedsiębiorstwa. W wersji projektu przedstawionej do oceny Zespołowi Programowania prac Rządu (etap uzyskania wpisu do Wykazu prac legislacyjnych Rady Ministrów</w:t>
            </w:r>
            <w:r w:rsidR="003F6C60" w:rsidRPr="00584929">
              <w:rPr>
                <w:rFonts w:ascii="Times New Roman" w:hAnsi="Times New Roman" w:cs="Times New Roman"/>
              </w:rPr>
              <w:t>) Projektodawca identyfikował w </w:t>
            </w:r>
            <w:r w:rsidRPr="00584929">
              <w:rPr>
                <w:rFonts w:ascii="Times New Roman" w:hAnsi="Times New Roman" w:cs="Times New Roman"/>
              </w:rPr>
              <w:t>OSR wpływ projektu na różne grupy przedsiębiorstw, w tym na przedsiębiorstwa należą</w:t>
            </w:r>
            <w:r w:rsidR="00ED1B23" w:rsidRPr="00584929">
              <w:rPr>
                <w:rFonts w:ascii="Times New Roman" w:hAnsi="Times New Roman" w:cs="Times New Roman"/>
              </w:rPr>
              <w:t>ce do kategorii mikro, małych i </w:t>
            </w:r>
            <w:r w:rsidRPr="00584929">
              <w:rPr>
                <w:rFonts w:ascii="Times New Roman" w:hAnsi="Times New Roman" w:cs="Times New Roman"/>
              </w:rPr>
              <w:t xml:space="preserve">średnich (w szczególności zasygnalizowano, że projektowany akt prawny wpływa na przedsiębiorstwa </w:t>
            </w:r>
            <w:r w:rsidR="003F6C60" w:rsidRPr="00584929">
              <w:rPr>
                <w:rFonts w:ascii="Times New Roman" w:hAnsi="Times New Roman" w:cs="Times New Roman"/>
              </w:rPr>
              <w:t>działające w sektorze kultury i </w:t>
            </w:r>
            <w:r w:rsidR="00ED1B23" w:rsidRPr="00584929">
              <w:rPr>
                <w:rFonts w:ascii="Times New Roman" w:hAnsi="Times New Roman" w:cs="Times New Roman"/>
              </w:rPr>
              <w:t>kreatywnym, z których w </w:t>
            </w:r>
            <w:r w:rsidRPr="00584929">
              <w:rPr>
                <w:rFonts w:ascii="Times New Roman" w:hAnsi="Times New Roman" w:cs="Times New Roman"/>
              </w:rPr>
              <w:t xml:space="preserve">większości chodzi o podmioty będące mikroprzedsiębiorstwem). W obecnej wersji projektu odesłania do mikroprzedsiębiorstw </w:t>
            </w:r>
            <w:r w:rsidR="00ED1B23" w:rsidRPr="00584929">
              <w:rPr>
                <w:rFonts w:ascii="Times New Roman" w:hAnsi="Times New Roman" w:cs="Times New Roman"/>
              </w:rPr>
              <w:t>zostały usunięte z </w:t>
            </w:r>
            <w:r w:rsidRPr="00584929">
              <w:rPr>
                <w:rFonts w:ascii="Times New Roman" w:hAnsi="Times New Roman" w:cs="Times New Roman"/>
              </w:rPr>
              <w:t xml:space="preserve">OSR. </w:t>
            </w:r>
          </w:p>
          <w:p w14:paraId="35FB1BBF" w14:textId="6AF86AEB" w:rsidR="000E4A06" w:rsidRPr="00584929" w:rsidRDefault="000E4A06" w:rsidP="003F6C60">
            <w:pPr>
              <w:jc w:val="both"/>
              <w:rPr>
                <w:rFonts w:ascii="Times New Roman" w:hAnsi="Times New Roman" w:cs="Times New Roman"/>
              </w:rPr>
            </w:pPr>
            <w:r w:rsidRPr="00584929">
              <w:rPr>
                <w:rFonts w:ascii="Times New Roman" w:hAnsi="Times New Roman" w:cs="Times New Roman"/>
              </w:rPr>
              <w:lastRenderedPageBreak/>
              <w:t>Z analizy projektu wynika, że wpływ na biznesowy sektor kreatywny, w tym na</w:t>
            </w:r>
            <w:r w:rsidR="00ED1B23" w:rsidRPr="00584929">
              <w:rPr>
                <w:rFonts w:ascii="Times New Roman" w:hAnsi="Times New Roman" w:cs="Times New Roman"/>
              </w:rPr>
              <w:t xml:space="preserve"> mikroprzedsiębiorców, małych i </w:t>
            </w:r>
            <w:r w:rsidRPr="00584929">
              <w:rPr>
                <w:rFonts w:ascii="Times New Roman" w:hAnsi="Times New Roman" w:cs="Times New Roman"/>
              </w:rPr>
              <w:t>średnich przedsiębiorców, jest naturalnym elementem regulowanej dziedziny i jest pożądany przez Projektodawcę (w uzasadnieniu Projektodawca stwierdza, że „Instytucja ponownego wykorzystywania koncentruje się na wykorzystywaniu gospodarczej wartości informacji sektora publicznego, gdzie służy ona jako materiał wyjściowy (surowiec)</w:t>
            </w:r>
            <w:r w:rsidR="00ED1B23" w:rsidRPr="00584929">
              <w:rPr>
                <w:rFonts w:ascii="Times New Roman" w:hAnsi="Times New Roman" w:cs="Times New Roman"/>
              </w:rPr>
              <w:t xml:space="preserve"> dla rozwoju nowych produktów i </w:t>
            </w:r>
            <w:r w:rsidRPr="00584929">
              <w:rPr>
                <w:rFonts w:ascii="Times New Roman" w:hAnsi="Times New Roman" w:cs="Times New Roman"/>
              </w:rPr>
              <w:t>usług”). Dyrektywa 2019/1024 Parlamentu Europejskiego i Rady z dnia 20 czerwca 2019 r. w sprawie otwartych danych i ponownego wykorzystywania informacji sektora publicznego (Dz. Urz. UE L 172/56), która ma być wdrożona za pomocą projektowanej Ustawy, w motywie 7) preambuły</w:t>
            </w:r>
            <w:r w:rsidR="00ED1B23" w:rsidRPr="00584929">
              <w:rPr>
                <w:rFonts w:ascii="Times New Roman" w:hAnsi="Times New Roman" w:cs="Times New Roman"/>
              </w:rPr>
              <w:t xml:space="preserve"> stwierdza, że „Traktat o </w:t>
            </w:r>
            <w:r w:rsidRPr="00584929">
              <w:rPr>
                <w:rFonts w:ascii="Times New Roman" w:hAnsi="Times New Roman" w:cs="Times New Roman"/>
              </w:rPr>
              <w:t xml:space="preserve">funkcjonowaniu Unii Europejskiej (TFUE) przewiduje ustanowienie rynku wewnętrznego i systemu zapewniającego niezakłóconą konkurencję na rynku wewnętrznym. Harmonizacja istniejących w państwach członkowskich zasad i praktyk odnoszących się do wykorzystywania informacji sektora publicznego przyczynia się do osiągnięcia tych celów”. W istocie to przepisy o wspólnym rynku europejskim są podstawą do regulowania problematyki ponownego wykorzystania informacji z sektora publicznego w Unii Europejskiej. Stwierdzenie, że projektowana ustawa, która ma wdrożyć ww. Dyrektywę, nie będzie miała wpływu na konkurencyjność </w:t>
            </w:r>
            <w:r w:rsidR="00ED1B23" w:rsidRPr="00584929">
              <w:rPr>
                <w:rFonts w:ascii="Times New Roman" w:hAnsi="Times New Roman" w:cs="Times New Roman"/>
              </w:rPr>
              <w:t>i przedsiębiorczość pozostaje w </w:t>
            </w:r>
            <w:r w:rsidRPr="00584929">
              <w:rPr>
                <w:rFonts w:ascii="Times New Roman" w:hAnsi="Times New Roman" w:cs="Times New Roman"/>
              </w:rPr>
              <w:t>sprzeczności z celami, które artykułował prawodawca europejski. W szczególności prawodawca europejski wskazuje zwi</w:t>
            </w:r>
            <w:r w:rsidR="00ED1B23" w:rsidRPr="00584929">
              <w:rPr>
                <w:rFonts w:ascii="Times New Roman" w:hAnsi="Times New Roman" w:cs="Times New Roman"/>
              </w:rPr>
              <w:t>ązek (wpływ) między regulacją a </w:t>
            </w:r>
            <w:r w:rsidRPr="00584929">
              <w:rPr>
                <w:rFonts w:ascii="Times New Roman" w:hAnsi="Times New Roman" w:cs="Times New Roman"/>
              </w:rPr>
              <w:t xml:space="preserve">konkurencyjnością gospodarki oraz przedsiębiorczością. Dał temu wyraz m.in. w motywie 36) preambuły wdrażanej dyrektywy, w którym wprost stwierdzono, że „należy uznać rolę, jaką w konkurencyjnym otoczeniu </w:t>
            </w:r>
            <w:r w:rsidRPr="00584929">
              <w:rPr>
                <w:rFonts w:ascii="Times New Roman" w:hAnsi="Times New Roman" w:cs="Times New Roman"/>
              </w:rPr>
              <w:lastRenderedPageBreak/>
              <w:t>gospodarczym odgrywają</w:t>
            </w:r>
            <w:r w:rsidR="00ED1B23" w:rsidRPr="00584929">
              <w:rPr>
                <w:rFonts w:ascii="Times New Roman" w:hAnsi="Times New Roman" w:cs="Times New Roman"/>
              </w:rPr>
              <w:t xml:space="preserve"> przedsiębiorstwa publiczne”, a </w:t>
            </w:r>
            <w:r w:rsidRPr="00584929">
              <w:rPr>
                <w:rFonts w:ascii="Times New Roman" w:hAnsi="Times New Roman" w:cs="Times New Roman"/>
              </w:rPr>
              <w:t xml:space="preserve">w motywie 47): </w:t>
            </w:r>
            <w:r w:rsidR="003F6C60" w:rsidRPr="00584929">
              <w:rPr>
                <w:rFonts w:ascii="Times New Roman" w:hAnsi="Times New Roman" w:cs="Times New Roman"/>
              </w:rPr>
              <w:t>„Państwa członkowskie powinny w </w:t>
            </w:r>
            <w:r w:rsidRPr="00584929">
              <w:rPr>
                <w:rFonts w:ascii="Times New Roman" w:hAnsi="Times New Roman" w:cs="Times New Roman"/>
              </w:rPr>
              <w:t>szczególności zapewnić, by ponowne wykorzystywanie dokumentów przedsiębiorstw publicznych nie prowadziło do zakłóceń na rynku i zaburzenia uczciwej konkurencji”. Temu celowi służyć ma m.in. wyrażona w art. 8 projektu zasada niedyskryminacji, a jej wprowadzenie, jako element gwarantowania warunków prawnych, które przeciwdziałać mają eliminowaniu lub ograniczaniu konkurencji, został dostrzeżony w uzasadnieniu projektu.</w:t>
            </w:r>
          </w:p>
          <w:p w14:paraId="7D645197" w14:textId="77777777" w:rsidR="000E4A06" w:rsidRPr="00584929" w:rsidRDefault="000E4A06" w:rsidP="003F6C60">
            <w:pPr>
              <w:jc w:val="both"/>
              <w:rPr>
                <w:rFonts w:ascii="Times New Roman" w:hAnsi="Times New Roman" w:cs="Times New Roman"/>
              </w:rPr>
            </w:pPr>
            <w:r w:rsidRPr="00584929">
              <w:rPr>
                <w:rFonts w:ascii="Times New Roman" w:hAnsi="Times New Roman" w:cs="Times New Roman"/>
              </w:rPr>
              <w:t>Powyższe oznacza, że w obecnej wersji Ocena Skutków Regulacji projektu pomija wcześniej prawidłowo zidentyfikowaną grupę podmiotów, na które projektowana regulacja będzie wywierała wpływ.</w:t>
            </w:r>
          </w:p>
          <w:p w14:paraId="0C9AFA94" w14:textId="08CFE4F8" w:rsidR="000E4A06" w:rsidRPr="00584929" w:rsidRDefault="000E4A06" w:rsidP="003F6C60">
            <w:pPr>
              <w:jc w:val="both"/>
              <w:rPr>
                <w:rFonts w:ascii="Times New Roman" w:hAnsi="Times New Roman" w:cs="Times New Roman"/>
              </w:rPr>
            </w:pPr>
            <w:r w:rsidRPr="00584929">
              <w:rPr>
                <w:rFonts w:ascii="Times New Roman" w:hAnsi="Times New Roman" w:cs="Times New Roman"/>
              </w:rPr>
              <w:t>Jednocześnie projektowana regulacja określa sposób funkcjonowania przedsiębiorstw</w:t>
            </w:r>
            <w:r w:rsidR="003F6C60" w:rsidRPr="00584929">
              <w:rPr>
                <w:rFonts w:ascii="Times New Roman" w:hAnsi="Times New Roman" w:cs="Times New Roman"/>
              </w:rPr>
              <w:t>, w </w:t>
            </w:r>
            <w:r w:rsidRPr="00584929">
              <w:rPr>
                <w:rFonts w:ascii="Times New Roman" w:hAnsi="Times New Roman" w:cs="Times New Roman"/>
              </w:rPr>
              <w:t>szczególności przewidując przepisy dotyczące określania warunków licencji, możliwości wykorzystywania informacji na wniosek, przepisy dotyczą</w:t>
            </w:r>
            <w:r w:rsidR="00ED1B23" w:rsidRPr="00584929">
              <w:rPr>
                <w:rFonts w:ascii="Times New Roman" w:hAnsi="Times New Roman" w:cs="Times New Roman"/>
              </w:rPr>
              <w:t>ce tajemnicy przedsiębiorstwa i </w:t>
            </w:r>
            <w:r w:rsidRPr="00584929">
              <w:rPr>
                <w:rFonts w:ascii="Times New Roman" w:hAnsi="Times New Roman" w:cs="Times New Roman"/>
              </w:rPr>
              <w:t xml:space="preserve">ograniczenia ponownego wykorzystania informacji ze względu na taką tajemnicę (w tym możliwość zrezygnowania przez przedsiębiorcę z prawa ochronnego), obowiązki związane z działaniem „przedsiębiorstw publicznych” w rozumieniu art. 2 pkt 3 dyrektywy 2019/1024/UE. Składanie wniosków, analiza informacji zawartych we wnioskach czy „warunkach” i inne czynności administracyjne związane z obsługą takich wniosków, należy uznać </w:t>
            </w:r>
            <w:r w:rsidR="00ED1B23" w:rsidRPr="00584929">
              <w:rPr>
                <w:rFonts w:ascii="Times New Roman" w:hAnsi="Times New Roman" w:cs="Times New Roman"/>
              </w:rPr>
              <w:t>za obowiązki administracyjne, o </w:t>
            </w:r>
            <w:r w:rsidRPr="00584929">
              <w:rPr>
                <w:rFonts w:ascii="Times New Roman" w:hAnsi="Times New Roman" w:cs="Times New Roman"/>
              </w:rPr>
              <w:t xml:space="preserve">których mowa w art. 67 pkt 1 ustawy – Prawo przedsiębiorców (dalej: PP). Określając ustawowo sposób funkcjonowania przedsiębiorców projektowany akt normatywny należy zaliczyć do kategorii aktu określającego zasady „podejmowania, wykonywania lub zakończenia działalności gospodarczej”, o którym mowa w art. 66 ust. 1 PP. </w:t>
            </w:r>
          </w:p>
          <w:p w14:paraId="3891EEE6" w14:textId="1343E006" w:rsidR="000E4A06" w:rsidRPr="00584929" w:rsidRDefault="000E4A06" w:rsidP="003F6C60">
            <w:pPr>
              <w:jc w:val="both"/>
              <w:rPr>
                <w:rFonts w:ascii="Times New Roman" w:hAnsi="Times New Roman" w:cs="Times New Roman"/>
              </w:rPr>
            </w:pPr>
            <w:r w:rsidRPr="00584929">
              <w:rPr>
                <w:rFonts w:ascii="Times New Roman" w:hAnsi="Times New Roman" w:cs="Times New Roman"/>
              </w:rPr>
              <w:lastRenderedPageBreak/>
              <w:t>W związku z powyższym należy uwzględnić w OSR prawidłowo zidentyfikowany wpływ na przedsiębiorstwa, w tym na mikoroprzedsiębiorców, małych i średnich przedsiębiorców.</w:t>
            </w:r>
          </w:p>
        </w:tc>
        <w:tc>
          <w:tcPr>
            <w:tcW w:w="4785" w:type="dxa"/>
            <w:shd w:val="clear" w:color="auto" w:fill="auto"/>
          </w:tcPr>
          <w:p w14:paraId="4AA02A81" w14:textId="77777777" w:rsidR="000E4A06" w:rsidRPr="00584929" w:rsidRDefault="000E4A06" w:rsidP="004A29FC">
            <w:pPr>
              <w:rPr>
                <w:rFonts w:ascii="Times New Roman" w:hAnsi="Times New Roman" w:cs="Times New Roman"/>
                <w:b/>
              </w:rPr>
            </w:pPr>
            <w:r w:rsidRPr="00584929">
              <w:rPr>
                <w:rFonts w:ascii="Times New Roman" w:hAnsi="Times New Roman" w:cs="Times New Roman"/>
                <w:b/>
              </w:rPr>
              <w:lastRenderedPageBreak/>
              <w:t>Uwaga nieuwzględniona</w:t>
            </w:r>
          </w:p>
          <w:p w14:paraId="7D8B85AE" w14:textId="6A8F504C" w:rsidR="00ED1B23" w:rsidRPr="00584929" w:rsidRDefault="00ED1B23" w:rsidP="00ED1B23">
            <w:pPr>
              <w:spacing w:line="259" w:lineRule="auto"/>
              <w:jc w:val="both"/>
              <w:rPr>
                <w:rFonts w:ascii="Times New Roman" w:hAnsi="Times New Roman" w:cs="Times New Roman"/>
              </w:rPr>
            </w:pPr>
            <w:r w:rsidRPr="00584929">
              <w:rPr>
                <w:rFonts w:ascii="Times New Roman" w:hAnsi="Times New Roman" w:cs="Times New Roman"/>
              </w:rPr>
              <w:t xml:space="preserve">Pkt 4 OSR (Podmioty, na które oddziałuje projekt) na etapie prac przed uzyskaniem wpisu do Wykazu prac legislacyjnych i programowych Rady Ministrów został zmodyfikowany (w stosunku do pierwotnej wersji). Wprowadzone zmiany miały związek z uwagami Centrum Analiz Strategicznych, które wskazało, że w OSR konieczne jest precyzyjne wykazanie, w opisie wpływu regulacji na poszczególne kategorie podmiotów, jedynie różnic w stosunku do obecnego stanu prawnego (tj. nieprzedstawianie, jako skutków analizowanej ustawy, również skutków wynikających z dotychczasowych zapisów prawnych). </w:t>
            </w:r>
          </w:p>
          <w:p w14:paraId="6C9456D9" w14:textId="4DC519F2" w:rsidR="00ED1B23" w:rsidRPr="00584929" w:rsidRDefault="00ED1B23" w:rsidP="00ED1B23">
            <w:pPr>
              <w:spacing w:after="160" w:line="259" w:lineRule="auto"/>
              <w:jc w:val="both"/>
              <w:rPr>
                <w:rFonts w:ascii="Times New Roman" w:hAnsi="Times New Roman" w:cs="Times New Roman"/>
              </w:rPr>
            </w:pPr>
            <w:r w:rsidRPr="00584929">
              <w:rPr>
                <w:rFonts w:ascii="Times New Roman" w:hAnsi="Times New Roman" w:cs="Times New Roman"/>
              </w:rPr>
              <w:t xml:space="preserve">Mając na uwadze powyższe w pkt 4 OSR usunięte zostały grupy podmiotów w stosunku, do których skutki analizowanej ustawy będą w istotnym zakresie tożsame ze skutkami wynikającymi z dotychczasowych regulacji. (m.in. przedsiębiorstwa działające w sektorze kultury i kreatywnym). W tym zakresie projekt nie wprowadza istotnych zmian w stosunku do obecnie obowiązującej ustawy o ponownym </w:t>
            </w:r>
            <w:r w:rsidRPr="00584929">
              <w:rPr>
                <w:rFonts w:ascii="Times New Roman" w:hAnsi="Times New Roman" w:cs="Times New Roman"/>
              </w:rPr>
              <w:lastRenderedPageBreak/>
              <w:t xml:space="preserve">wykorzystywaniu informacji sektora publicznego (ustawa z 2016 r.). Zmiany dotyczą natomiast przedsiębiorstw publicznych w rozumieniu art. 3 pkt 5 projektu. W związku z tym oddziaływanie regulacji na tego rodzaju podmioty zostało opisane i sprecyzowane. </w:t>
            </w:r>
          </w:p>
          <w:p w14:paraId="5186B928" w14:textId="7300C1B7" w:rsidR="00ED1B23" w:rsidRPr="00584929" w:rsidRDefault="00ED1B23" w:rsidP="004A29FC">
            <w:pPr>
              <w:rPr>
                <w:rFonts w:ascii="Times New Roman" w:hAnsi="Times New Roman" w:cs="Times New Roman"/>
                <w:b/>
              </w:rPr>
            </w:pPr>
          </w:p>
        </w:tc>
      </w:tr>
      <w:tr w:rsidR="009311E1" w:rsidRPr="00584929" w14:paraId="0A073329" w14:textId="77777777" w:rsidTr="00D94ED7">
        <w:tc>
          <w:tcPr>
            <w:tcW w:w="676" w:type="dxa"/>
            <w:shd w:val="clear" w:color="auto" w:fill="auto"/>
          </w:tcPr>
          <w:p w14:paraId="3B4DF5CE" w14:textId="77777777" w:rsidR="009311E1" w:rsidRPr="00584929" w:rsidRDefault="009311E1" w:rsidP="004A29FC">
            <w:pPr>
              <w:pStyle w:val="Akapitzlist"/>
              <w:numPr>
                <w:ilvl w:val="0"/>
                <w:numId w:val="20"/>
              </w:numPr>
              <w:rPr>
                <w:sz w:val="22"/>
                <w:szCs w:val="22"/>
              </w:rPr>
            </w:pPr>
          </w:p>
        </w:tc>
        <w:tc>
          <w:tcPr>
            <w:tcW w:w="1968" w:type="dxa"/>
            <w:shd w:val="clear" w:color="auto" w:fill="auto"/>
          </w:tcPr>
          <w:p w14:paraId="661FAA55" w14:textId="77777777" w:rsidR="009311E1" w:rsidRPr="00584929" w:rsidRDefault="009311E1" w:rsidP="004A29FC">
            <w:pPr>
              <w:rPr>
                <w:rFonts w:ascii="Times New Roman" w:hAnsi="Times New Roman" w:cs="Times New Roman"/>
              </w:rPr>
            </w:pPr>
            <w:r w:rsidRPr="00584929">
              <w:rPr>
                <w:rFonts w:ascii="Times New Roman" w:hAnsi="Times New Roman" w:cs="Times New Roman"/>
              </w:rPr>
              <w:t>Ministerstwo Nauki i Szkolnictwa Wyższego</w:t>
            </w:r>
          </w:p>
          <w:p w14:paraId="38DBC1D8" w14:textId="4313B551" w:rsidR="009311E1" w:rsidRPr="00584929" w:rsidRDefault="009311E1" w:rsidP="004A29FC">
            <w:pPr>
              <w:rPr>
                <w:rFonts w:ascii="Times New Roman" w:hAnsi="Times New Roman" w:cs="Times New Roman"/>
              </w:rPr>
            </w:pPr>
          </w:p>
        </w:tc>
        <w:tc>
          <w:tcPr>
            <w:tcW w:w="1526" w:type="dxa"/>
            <w:shd w:val="clear" w:color="auto" w:fill="auto"/>
          </w:tcPr>
          <w:p w14:paraId="61A8456C" w14:textId="3A9DA07D" w:rsidR="009311E1" w:rsidRPr="00584929" w:rsidRDefault="000E4A06" w:rsidP="004A29FC">
            <w:pPr>
              <w:rPr>
                <w:rFonts w:ascii="Times New Roman" w:hAnsi="Times New Roman" w:cs="Times New Roman"/>
              </w:rPr>
            </w:pPr>
            <w:r w:rsidRPr="00584929">
              <w:rPr>
                <w:rFonts w:ascii="Times New Roman" w:hAnsi="Times New Roman" w:cs="Times New Roman"/>
              </w:rPr>
              <w:t>OSR pkt</w:t>
            </w:r>
            <w:r w:rsidR="009311E1" w:rsidRPr="00584929">
              <w:rPr>
                <w:rFonts w:ascii="Times New Roman" w:hAnsi="Times New Roman" w:cs="Times New Roman"/>
              </w:rPr>
              <w:t xml:space="preserve"> 5</w:t>
            </w:r>
          </w:p>
        </w:tc>
        <w:tc>
          <w:tcPr>
            <w:tcW w:w="5323" w:type="dxa"/>
            <w:shd w:val="clear" w:color="auto" w:fill="auto"/>
          </w:tcPr>
          <w:p w14:paraId="0F7C24CB" w14:textId="6A5179F5" w:rsidR="009311E1" w:rsidRPr="00584929" w:rsidRDefault="009311E1" w:rsidP="003F6C60">
            <w:pPr>
              <w:jc w:val="both"/>
              <w:rPr>
                <w:rFonts w:ascii="Times New Roman" w:hAnsi="Times New Roman" w:cs="Times New Roman"/>
              </w:rPr>
            </w:pPr>
            <w:r w:rsidRPr="00584929">
              <w:rPr>
                <w:rFonts w:ascii="Times New Roman" w:hAnsi="Times New Roman" w:cs="Times New Roman"/>
              </w:rPr>
              <w:t>W związku z rozszerzeniem zakresu przedmiotowego dyrektywy 2019/1024/UE o dane badawcze finansowane ze środków publicznych, które zostały już udostępnione przez naukowców, zasadne byłoby rozszerzenie katalogu podmiotów, do których projekt zostanie skierowany do konsultacji publicznych, szcz</w:t>
            </w:r>
            <w:r w:rsidR="003F6C60" w:rsidRPr="00584929">
              <w:rPr>
                <w:rFonts w:ascii="Times New Roman" w:hAnsi="Times New Roman" w:cs="Times New Roman"/>
              </w:rPr>
              <w:t>ególnie o podmioty wymienione w </w:t>
            </w:r>
            <w:r w:rsidRPr="00584929">
              <w:rPr>
                <w:rFonts w:ascii="Times New Roman" w:hAnsi="Times New Roman" w:cs="Times New Roman"/>
              </w:rPr>
              <w:t>art. 7 ust. 1 ustawy z dnia z dnia 20 lipca 2018 r. –</w:t>
            </w:r>
            <w:r w:rsidR="003F6C60" w:rsidRPr="00584929">
              <w:rPr>
                <w:rFonts w:ascii="Times New Roman" w:hAnsi="Times New Roman" w:cs="Times New Roman"/>
              </w:rPr>
              <w:t xml:space="preserve"> Prawo o szkolnictwie wyższym i </w:t>
            </w:r>
            <w:r w:rsidRPr="00584929">
              <w:rPr>
                <w:rFonts w:ascii="Times New Roman" w:hAnsi="Times New Roman" w:cs="Times New Roman"/>
              </w:rPr>
              <w:t>nauce lub instytucje przedstawicielskie tych podmiotów, w szczególności wymienione w art. 329 ust. 1 pkt 1–4 ww. ustawy.</w:t>
            </w:r>
          </w:p>
        </w:tc>
        <w:tc>
          <w:tcPr>
            <w:tcW w:w="4785" w:type="dxa"/>
            <w:shd w:val="clear" w:color="auto" w:fill="auto"/>
          </w:tcPr>
          <w:p w14:paraId="5B49ADA6" w14:textId="77777777" w:rsidR="009311E1" w:rsidRPr="00584929" w:rsidRDefault="009311E1" w:rsidP="004A29FC">
            <w:pPr>
              <w:rPr>
                <w:rFonts w:ascii="Times New Roman" w:hAnsi="Times New Roman" w:cs="Times New Roman"/>
                <w:b/>
              </w:rPr>
            </w:pPr>
            <w:r w:rsidRPr="00584929">
              <w:rPr>
                <w:rFonts w:ascii="Times New Roman" w:hAnsi="Times New Roman" w:cs="Times New Roman"/>
                <w:b/>
              </w:rPr>
              <w:t>Uwaga nieuwzględniona</w:t>
            </w:r>
          </w:p>
          <w:p w14:paraId="34979FBC" w14:textId="77777777" w:rsidR="00ED1B23" w:rsidRPr="00584929" w:rsidRDefault="00ED1B23" w:rsidP="00ED1B23">
            <w:pPr>
              <w:spacing w:line="259" w:lineRule="auto"/>
              <w:jc w:val="both"/>
              <w:rPr>
                <w:rFonts w:ascii="Times New Roman" w:hAnsi="Times New Roman" w:cs="Times New Roman"/>
              </w:rPr>
            </w:pPr>
            <w:r w:rsidRPr="00584929">
              <w:rPr>
                <w:rFonts w:ascii="Times New Roman" w:hAnsi="Times New Roman" w:cs="Times New Roman"/>
              </w:rPr>
              <w:t>W ramach konsultacji publicznych i opiniowania projekt ustawy został skierowany m.in. do:</w:t>
            </w:r>
          </w:p>
          <w:p w14:paraId="37D7AE63" w14:textId="77777777" w:rsidR="00ED1B23" w:rsidRPr="00584929" w:rsidRDefault="00ED1B23" w:rsidP="00A07FD4">
            <w:pPr>
              <w:numPr>
                <w:ilvl w:val="0"/>
                <w:numId w:val="48"/>
              </w:numPr>
              <w:spacing w:after="160" w:line="259" w:lineRule="auto"/>
              <w:ind w:left="308"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Narodowego Centrum Badań i Rozwoju</w:t>
            </w:r>
          </w:p>
          <w:p w14:paraId="6849E38E" w14:textId="77777777" w:rsidR="00ED1B23" w:rsidRPr="00584929" w:rsidRDefault="00ED1B23" w:rsidP="00A07FD4">
            <w:pPr>
              <w:numPr>
                <w:ilvl w:val="0"/>
                <w:numId w:val="48"/>
              </w:numPr>
              <w:spacing w:after="160" w:line="259" w:lineRule="auto"/>
              <w:ind w:left="308"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Narodowego Centrum Nauki</w:t>
            </w:r>
          </w:p>
          <w:p w14:paraId="75ABA562" w14:textId="77777777" w:rsidR="00ED1B23" w:rsidRPr="00584929" w:rsidRDefault="00ED1B23" w:rsidP="00A07FD4">
            <w:pPr>
              <w:numPr>
                <w:ilvl w:val="0"/>
                <w:numId w:val="48"/>
              </w:numPr>
              <w:spacing w:after="160" w:line="259" w:lineRule="auto"/>
              <w:ind w:left="308"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Naukowej i Akademickiej Sieci Komputerowej - Państwowego Instytutu Badawczego</w:t>
            </w:r>
          </w:p>
          <w:p w14:paraId="54F4A8E5" w14:textId="77777777" w:rsidR="00ED1B23" w:rsidRPr="00584929" w:rsidRDefault="00ED1B23" w:rsidP="00A07FD4">
            <w:pPr>
              <w:numPr>
                <w:ilvl w:val="0"/>
                <w:numId w:val="48"/>
              </w:numPr>
              <w:spacing w:after="160" w:line="259" w:lineRule="auto"/>
              <w:ind w:left="308"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Polskiej Akademii Nauk</w:t>
            </w:r>
          </w:p>
          <w:p w14:paraId="4900429E" w14:textId="77777777" w:rsidR="00ED1B23" w:rsidRPr="00584929" w:rsidRDefault="00ED1B23" w:rsidP="00A07FD4">
            <w:pPr>
              <w:numPr>
                <w:ilvl w:val="0"/>
                <w:numId w:val="48"/>
              </w:numPr>
              <w:spacing w:after="160" w:line="259" w:lineRule="auto"/>
              <w:ind w:left="308"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Rady Głównej Instytutów Badawczych</w:t>
            </w:r>
          </w:p>
          <w:p w14:paraId="2A0870AE" w14:textId="77777777" w:rsidR="00ED1B23" w:rsidRPr="00584929" w:rsidRDefault="00ED1B23" w:rsidP="00A07FD4">
            <w:pPr>
              <w:numPr>
                <w:ilvl w:val="0"/>
                <w:numId w:val="48"/>
              </w:numPr>
              <w:spacing w:after="160" w:line="259" w:lineRule="auto"/>
              <w:ind w:left="308"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Fundacji na Rzecz Nauki Polskiej</w:t>
            </w:r>
          </w:p>
          <w:p w14:paraId="20D78F6A" w14:textId="77777777" w:rsidR="00ED1B23" w:rsidRPr="00584929" w:rsidRDefault="00ED1B23" w:rsidP="00A07FD4">
            <w:pPr>
              <w:numPr>
                <w:ilvl w:val="0"/>
                <w:numId w:val="48"/>
              </w:numPr>
              <w:spacing w:after="160" w:line="259" w:lineRule="auto"/>
              <w:ind w:left="308"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Interdyscyplinarnego Centrum Modelowania Matematycznego i Komputerowego (ICM) Uniwersytetu Warszawskiego</w:t>
            </w:r>
          </w:p>
          <w:p w14:paraId="08A5A4EF" w14:textId="77777777" w:rsidR="00ED1B23" w:rsidRPr="00584929" w:rsidRDefault="00ED1B23" w:rsidP="00A07FD4">
            <w:pPr>
              <w:numPr>
                <w:ilvl w:val="0"/>
                <w:numId w:val="48"/>
              </w:numPr>
              <w:spacing w:after="160" w:line="259" w:lineRule="auto"/>
              <w:ind w:left="308"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Polskiej Akademii Umiejętności</w:t>
            </w:r>
          </w:p>
          <w:p w14:paraId="228B6FF4" w14:textId="260F4F1E" w:rsidR="00ED1B23" w:rsidRPr="00584929" w:rsidRDefault="00ED1B23" w:rsidP="00A07FD4">
            <w:pPr>
              <w:numPr>
                <w:ilvl w:val="0"/>
                <w:numId w:val="48"/>
              </w:numPr>
              <w:spacing w:after="160" w:line="259" w:lineRule="auto"/>
              <w:ind w:left="308" w:hanging="283"/>
              <w:contextualSpacing/>
              <w:jc w:val="both"/>
              <w:rPr>
                <w:rFonts w:ascii="Times New Roman" w:eastAsia="Calibri" w:hAnsi="Times New Roman" w:cs="Times New Roman"/>
                <w:lang w:eastAsia="pl-PL"/>
              </w:rPr>
            </w:pPr>
            <w:r w:rsidRPr="00584929">
              <w:rPr>
                <w:rFonts w:ascii="Times New Roman" w:eastAsia="Calibri" w:hAnsi="Times New Roman" w:cs="Times New Roman"/>
                <w:lang w:eastAsia="pl-PL"/>
              </w:rPr>
              <w:t>Poznańskiego Towarzystwa Przyjaciół Nauk</w:t>
            </w:r>
          </w:p>
          <w:p w14:paraId="289C2A15" w14:textId="3CA040D0" w:rsidR="00ED1B23" w:rsidRPr="00584929" w:rsidRDefault="00ED1B23" w:rsidP="00ED1B23">
            <w:pPr>
              <w:spacing w:line="259" w:lineRule="auto"/>
              <w:jc w:val="both"/>
              <w:rPr>
                <w:rFonts w:ascii="Times New Roman" w:hAnsi="Times New Roman" w:cs="Times New Roman"/>
              </w:rPr>
            </w:pPr>
            <w:r w:rsidRPr="00584929">
              <w:rPr>
                <w:rFonts w:ascii="Times New Roman" w:hAnsi="Times New Roman" w:cs="Times New Roman"/>
              </w:rPr>
              <w:t>W opinii projektodawcy podmioty te stanowią reprezentatywną grupę dla sektora nauki w Polsce. Jedocześnie należy podkreślić, że projekt skierowany został do konsultacji publicznych i opiniowania do ogólnej liczby 84 podmiotów. Wśród nich znalazły również liczne organizacje pozarządowe zajmujące się również tematyką otwartej nauki (pełna lista podmiotów opublikowana została na stronach RCL)</w:t>
            </w:r>
          </w:p>
        </w:tc>
      </w:tr>
      <w:tr w:rsidR="000E4A06" w:rsidRPr="00584929" w14:paraId="640068D9" w14:textId="77777777" w:rsidTr="00D94ED7">
        <w:tc>
          <w:tcPr>
            <w:tcW w:w="676" w:type="dxa"/>
            <w:shd w:val="clear" w:color="auto" w:fill="auto"/>
          </w:tcPr>
          <w:p w14:paraId="651114D6" w14:textId="77777777" w:rsidR="000E4A06" w:rsidRPr="00584929" w:rsidRDefault="000E4A06" w:rsidP="004A29FC">
            <w:pPr>
              <w:pStyle w:val="Akapitzlist"/>
              <w:numPr>
                <w:ilvl w:val="0"/>
                <w:numId w:val="20"/>
              </w:numPr>
              <w:rPr>
                <w:sz w:val="22"/>
                <w:szCs w:val="22"/>
              </w:rPr>
            </w:pPr>
          </w:p>
        </w:tc>
        <w:tc>
          <w:tcPr>
            <w:tcW w:w="1968" w:type="dxa"/>
            <w:shd w:val="clear" w:color="auto" w:fill="auto"/>
          </w:tcPr>
          <w:p w14:paraId="08C53527" w14:textId="77777777" w:rsidR="000E4A06" w:rsidRPr="00584929" w:rsidRDefault="000E4A06" w:rsidP="004A29FC">
            <w:pPr>
              <w:rPr>
                <w:rFonts w:ascii="Times New Roman" w:hAnsi="Times New Roman" w:cs="Times New Roman"/>
              </w:rPr>
            </w:pPr>
            <w:r w:rsidRPr="00584929">
              <w:rPr>
                <w:rFonts w:ascii="Times New Roman" w:hAnsi="Times New Roman" w:cs="Times New Roman"/>
              </w:rPr>
              <w:t>Ministerstwo Rozwoju</w:t>
            </w:r>
          </w:p>
          <w:p w14:paraId="5B594875" w14:textId="136E47CD" w:rsidR="000E4A06" w:rsidRPr="00584929" w:rsidRDefault="000E4A06" w:rsidP="004A29FC">
            <w:pPr>
              <w:rPr>
                <w:rFonts w:ascii="Times New Roman" w:hAnsi="Times New Roman" w:cs="Times New Roman"/>
              </w:rPr>
            </w:pPr>
          </w:p>
        </w:tc>
        <w:tc>
          <w:tcPr>
            <w:tcW w:w="1526" w:type="dxa"/>
            <w:shd w:val="clear" w:color="auto" w:fill="auto"/>
          </w:tcPr>
          <w:p w14:paraId="0B3D8DDE" w14:textId="66C11D49" w:rsidR="000E4A06" w:rsidRPr="00584929" w:rsidRDefault="000E4A06" w:rsidP="004A29FC">
            <w:pPr>
              <w:rPr>
                <w:rFonts w:ascii="Times New Roman" w:hAnsi="Times New Roman" w:cs="Times New Roman"/>
              </w:rPr>
            </w:pPr>
            <w:r w:rsidRPr="00584929">
              <w:rPr>
                <w:rFonts w:ascii="Times New Roman" w:hAnsi="Times New Roman" w:cs="Times New Roman"/>
              </w:rPr>
              <w:t>OSR pkt 5</w:t>
            </w:r>
          </w:p>
        </w:tc>
        <w:tc>
          <w:tcPr>
            <w:tcW w:w="5323" w:type="dxa"/>
            <w:shd w:val="clear" w:color="auto" w:fill="auto"/>
          </w:tcPr>
          <w:p w14:paraId="53783D90" w14:textId="72D939E0" w:rsidR="000E4A06" w:rsidRPr="00584929" w:rsidRDefault="000E4A06" w:rsidP="003F6C60">
            <w:pPr>
              <w:jc w:val="both"/>
              <w:rPr>
                <w:rFonts w:ascii="Times New Roman" w:hAnsi="Times New Roman" w:cs="Times New Roman"/>
              </w:rPr>
            </w:pPr>
            <w:r w:rsidRPr="00584929">
              <w:rPr>
                <w:rFonts w:ascii="Times New Roman" w:hAnsi="Times New Roman" w:cs="Times New Roman"/>
              </w:rPr>
              <w:t>Pkt 5 OSR wymaga uzupełnienia o informacje o terminie rozpoczęcia konsultacji publicznych oraz wskazanie publikatora, w którym projekt zostanie udostępniony do konsultacji i uzgodnień (BIP RCL).</w:t>
            </w:r>
          </w:p>
        </w:tc>
        <w:tc>
          <w:tcPr>
            <w:tcW w:w="4785" w:type="dxa"/>
            <w:shd w:val="clear" w:color="auto" w:fill="auto"/>
          </w:tcPr>
          <w:p w14:paraId="2B381A1C" w14:textId="75CF48E5" w:rsidR="000E4A06" w:rsidRPr="00584929" w:rsidRDefault="00ED1B23" w:rsidP="004A29FC">
            <w:pPr>
              <w:rPr>
                <w:rFonts w:ascii="Times New Roman" w:hAnsi="Times New Roman" w:cs="Times New Roman"/>
                <w:b/>
              </w:rPr>
            </w:pPr>
            <w:r w:rsidRPr="00584929">
              <w:rPr>
                <w:rFonts w:ascii="Times New Roman" w:hAnsi="Times New Roman" w:cs="Times New Roman"/>
                <w:b/>
              </w:rPr>
              <w:t xml:space="preserve">Wyjaśnienie </w:t>
            </w:r>
          </w:p>
          <w:p w14:paraId="46DE94D4" w14:textId="1C3052CB" w:rsidR="00ED1B23" w:rsidRPr="00584929" w:rsidRDefault="00ED1B23" w:rsidP="00ED1B23">
            <w:pPr>
              <w:jc w:val="both"/>
              <w:rPr>
                <w:rFonts w:ascii="Times New Roman" w:hAnsi="Times New Roman" w:cs="Times New Roman"/>
              </w:rPr>
            </w:pPr>
            <w:r w:rsidRPr="00584929">
              <w:rPr>
                <w:rFonts w:ascii="Times New Roman" w:hAnsi="Times New Roman" w:cs="Times New Roman"/>
              </w:rPr>
              <w:t>Projekt udostępniono do konsultacji publicznych równocześnie z jego skierowaniem do uzgodnień międzyresortowych i opiniowania.</w:t>
            </w:r>
          </w:p>
        </w:tc>
      </w:tr>
      <w:tr w:rsidR="004873A1" w:rsidRPr="00584929" w14:paraId="248EAE89" w14:textId="77777777" w:rsidTr="00D94ED7">
        <w:tc>
          <w:tcPr>
            <w:tcW w:w="676" w:type="dxa"/>
            <w:shd w:val="clear" w:color="auto" w:fill="auto"/>
          </w:tcPr>
          <w:p w14:paraId="0579A6A7"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26FAFA0F" w14:textId="37E03F2C" w:rsidR="004873A1" w:rsidRPr="00584929" w:rsidRDefault="00E91D91" w:rsidP="004A29FC">
            <w:pPr>
              <w:rPr>
                <w:rFonts w:ascii="Times New Roman" w:hAnsi="Times New Roman" w:cs="Times New Roman"/>
              </w:rPr>
            </w:pPr>
            <w:r w:rsidRPr="00584929">
              <w:rPr>
                <w:rFonts w:ascii="Times New Roman" w:hAnsi="Times New Roman" w:cs="Times New Roman"/>
              </w:rPr>
              <w:t>Ministerstwo Finansów</w:t>
            </w:r>
          </w:p>
        </w:tc>
        <w:tc>
          <w:tcPr>
            <w:tcW w:w="1526" w:type="dxa"/>
            <w:shd w:val="clear" w:color="auto" w:fill="auto"/>
          </w:tcPr>
          <w:p w14:paraId="0557DD6E" w14:textId="27DD8046" w:rsidR="004873A1" w:rsidRPr="00584929" w:rsidRDefault="00E91D91" w:rsidP="004A29FC">
            <w:pPr>
              <w:rPr>
                <w:rFonts w:ascii="Times New Roman" w:hAnsi="Times New Roman" w:cs="Times New Roman"/>
              </w:rPr>
            </w:pPr>
            <w:r w:rsidRPr="00584929">
              <w:rPr>
                <w:rFonts w:ascii="Times New Roman" w:hAnsi="Times New Roman" w:cs="Times New Roman"/>
              </w:rPr>
              <w:t>OSR pkt 6</w:t>
            </w:r>
          </w:p>
        </w:tc>
        <w:tc>
          <w:tcPr>
            <w:tcW w:w="5323" w:type="dxa"/>
            <w:shd w:val="clear" w:color="auto" w:fill="auto"/>
          </w:tcPr>
          <w:p w14:paraId="16D67F7C" w14:textId="128E2BE8" w:rsidR="00E91D91" w:rsidRPr="00584929" w:rsidRDefault="00E91D91" w:rsidP="003F6C60">
            <w:pPr>
              <w:jc w:val="both"/>
              <w:rPr>
                <w:rFonts w:ascii="Times New Roman" w:hAnsi="Times New Roman" w:cs="Times New Roman"/>
              </w:rPr>
            </w:pPr>
            <w:r w:rsidRPr="00584929">
              <w:rPr>
                <w:rFonts w:ascii="Times New Roman" w:hAnsi="Times New Roman" w:cs="Times New Roman"/>
              </w:rPr>
              <w:t>Treść OSR pkt 6 należałoby uzupełnić o informację, że w przypadku braku możliwości zaangażowania środków z programów unijnych potrzebnych do realizacji tego przedsięwzięcia w kolejnych latach, począwszy od 2022 r., ewentualne wydatki po stronie budżetu państwa potrzebne na utrzymanie i rozwój portalu otwartych danych (dane.gov.pl) będą sfinansowane w ramach limitu wydatków Ministra Cyfryzacji i nie będą stanowiły podstawy do ubiegania się o dodatkowe środki z budżetu państwa na ten cel.</w:t>
            </w:r>
          </w:p>
        </w:tc>
        <w:tc>
          <w:tcPr>
            <w:tcW w:w="4785" w:type="dxa"/>
            <w:shd w:val="clear" w:color="auto" w:fill="auto"/>
          </w:tcPr>
          <w:p w14:paraId="7490B1FF" w14:textId="77777777" w:rsidR="004873A1" w:rsidRPr="00584929" w:rsidRDefault="00E91D91" w:rsidP="004A29FC">
            <w:pPr>
              <w:rPr>
                <w:rFonts w:ascii="Times New Roman" w:hAnsi="Times New Roman" w:cs="Times New Roman"/>
                <w:b/>
              </w:rPr>
            </w:pPr>
            <w:r w:rsidRPr="00584929">
              <w:rPr>
                <w:rFonts w:ascii="Times New Roman" w:hAnsi="Times New Roman" w:cs="Times New Roman"/>
                <w:b/>
              </w:rPr>
              <w:t>Uwaga uwzględniona</w:t>
            </w:r>
          </w:p>
          <w:p w14:paraId="3DE56634" w14:textId="7D2DAB32" w:rsidR="00ED1B23" w:rsidRPr="00584929" w:rsidRDefault="00ED1B23" w:rsidP="004A29FC">
            <w:pPr>
              <w:rPr>
                <w:rFonts w:ascii="Times New Roman" w:hAnsi="Times New Roman" w:cs="Times New Roman"/>
              </w:rPr>
            </w:pPr>
            <w:r w:rsidRPr="00584929">
              <w:rPr>
                <w:rFonts w:ascii="Times New Roman" w:hAnsi="Times New Roman" w:cs="Times New Roman"/>
              </w:rPr>
              <w:t>OSR zostanie zmieniony.</w:t>
            </w:r>
          </w:p>
        </w:tc>
      </w:tr>
      <w:tr w:rsidR="004873A1" w:rsidRPr="00584929" w14:paraId="6BC10F9C" w14:textId="77777777" w:rsidTr="00D94ED7">
        <w:tc>
          <w:tcPr>
            <w:tcW w:w="676" w:type="dxa"/>
            <w:shd w:val="clear" w:color="auto" w:fill="auto"/>
          </w:tcPr>
          <w:p w14:paraId="219763DC" w14:textId="77777777" w:rsidR="004873A1" w:rsidRPr="00584929" w:rsidRDefault="004873A1" w:rsidP="004A29FC">
            <w:pPr>
              <w:pStyle w:val="Akapitzlist"/>
              <w:numPr>
                <w:ilvl w:val="0"/>
                <w:numId w:val="20"/>
              </w:numPr>
              <w:rPr>
                <w:sz w:val="22"/>
                <w:szCs w:val="22"/>
              </w:rPr>
            </w:pPr>
          </w:p>
        </w:tc>
        <w:tc>
          <w:tcPr>
            <w:tcW w:w="1968" w:type="dxa"/>
            <w:shd w:val="clear" w:color="auto" w:fill="auto"/>
          </w:tcPr>
          <w:p w14:paraId="47DEB80D" w14:textId="43B2A179" w:rsidR="004873A1" w:rsidRPr="00584929" w:rsidRDefault="009311E1" w:rsidP="004A29FC">
            <w:pPr>
              <w:rPr>
                <w:rFonts w:ascii="Times New Roman" w:hAnsi="Times New Roman" w:cs="Times New Roman"/>
              </w:rPr>
            </w:pPr>
            <w:r w:rsidRPr="00584929">
              <w:rPr>
                <w:rFonts w:ascii="Times New Roman" w:hAnsi="Times New Roman" w:cs="Times New Roman"/>
              </w:rPr>
              <w:t>Ministerstwo Funduszy i Polityki Regionalnej</w:t>
            </w:r>
          </w:p>
        </w:tc>
        <w:tc>
          <w:tcPr>
            <w:tcW w:w="1526" w:type="dxa"/>
            <w:shd w:val="clear" w:color="auto" w:fill="auto"/>
          </w:tcPr>
          <w:p w14:paraId="4647AF5A" w14:textId="26A6593B" w:rsidR="004873A1" w:rsidRPr="00584929" w:rsidRDefault="009311E1" w:rsidP="004A29FC">
            <w:pPr>
              <w:rPr>
                <w:rFonts w:ascii="Times New Roman" w:hAnsi="Times New Roman" w:cs="Times New Roman"/>
              </w:rPr>
            </w:pPr>
            <w:r w:rsidRPr="00584929">
              <w:rPr>
                <w:rFonts w:ascii="Times New Roman" w:hAnsi="Times New Roman" w:cs="Times New Roman"/>
              </w:rPr>
              <w:t>OSR pkt 6</w:t>
            </w:r>
          </w:p>
        </w:tc>
        <w:tc>
          <w:tcPr>
            <w:tcW w:w="5323" w:type="dxa"/>
            <w:shd w:val="clear" w:color="auto" w:fill="auto"/>
          </w:tcPr>
          <w:p w14:paraId="471EE75C" w14:textId="73371B8D" w:rsidR="009311E1" w:rsidRPr="00584929" w:rsidRDefault="009311E1" w:rsidP="003F6C60">
            <w:pPr>
              <w:jc w:val="both"/>
              <w:rPr>
                <w:rFonts w:ascii="Times New Roman" w:hAnsi="Times New Roman" w:cs="Times New Roman"/>
              </w:rPr>
            </w:pPr>
            <w:r w:rsidRPr="00584929">
              <w:rPr>
                <w:rFonts w:ascii="Times New Roman" w:hAnsi="Times New Roman" w:cs="Times New Roman"/>
              </w:rPr>
              <w:t>W związku z informacją zawartą na stronie 83 projektu (OSR), iż do 2021 r. zostanie otwarty Informatyczny System Obsługi Budżetu Państwa – TREZOR, powstaje pytanie jakiego rodzaju informacje z ww. systemu mają zostać objęte otwartością danych.</w:t>
            </w:r>
          </w:p>
        </w:tc>
        <w:tc>
          <w:tcPr>
            <w:tcW w:w="4785" w:type="dxa"/>
            <w:shd w:val="clear" w:color="auto" w:fill="auto"/>
          </w:tcPr>
          <w:p w14:paraId="55882111" w14:textId="77777777" w:rsidR="004873A1" w:rsidRPr="00584929" w:rsidRDefault="00ED1B23" w:rsidP="004A29FC">
            <w:pPr>
              <w:rPr>
                <w:rFonts w:ascii="Times New Roman" w:hAnsi="Times New Roman" w:cs="Times New Roman"/>
                <w:b/>
              </w:rPr>
            </w:pPr>
            <w:r w:rsidRPr="00584929">
              <w:rPr>
                <w:rFonts w:ascii="Times New Roman" w:hAnsi="Times New Roman" w:cs="Times New Roman"/>
                <w:b/>
              </w:rPr>
              <w:t xml:space="preserve">Wyjaśnienie </w:t>
            </w:r>
          </w:p>
          <w:p w14:paraId="079EA232" w14:textId="67D53B0B" w:rsidR="00ED1B23" w:rsidRPr="00584929" w:rsidRDefault="00ED1B23" w:rsidP="00ED1B23">
            <w:pPr>
              <w:jc w:val="both"/>
              <w:rPr>
                <w:rFonts w:ascii="Times New Roman" w:hAnsi="Times New Roman" w:cs="Times New Roman"/>
                <w:b/>
              </w:rPr>
            </w:pPr>
            <w:r w:rsidRPr="00584929">
              <w:rPr>
                <w:rFonts w:ascii="Times New Roman" w:hAnsi="Times New Roman" w:cs="Times New Roman"/>
              </w:rPr>
              <w:t>KPRM (do niedawna Ministerstwo Cyfryzacji) realizuje projekt Otwarte dane Plus. Projekt jest dofinansowany z Programu Operacyjnego Polska Cyfrowa. Jednym z partnerów w projekcie jest Ministerstwo Finansów, które zgłosiło i dobudowuje API właśnie do Informatycznego Systemu Obsługi Budżetu Państwa – TREZOR. Szczegółowych informacji o zakresie danych może udzielić odpowiedzialny za TREZOR departament w Ministerstwo Finansów.</w:t>
            </w:r>
          </w:p>
        </w:tc>
      </w:tr>
      <w:tr w:rsidR="004873A1" w:rsidRPr="00584929" w14:paraId="29E83EB8" w14:textId="77777777" w:rsidTr="00D94ED7">
        <w:tc>
          <w:tcPr>
            <w:tcW w:w="676" w:type="dxa"/>
            <w:shd w:val="clear" w:color="auto" w:fill="auto"/>
          </w:tcPr>
          <w:p w14:paraId="49430AD1" w14:textId="19EB91A9" w:rsidR="004873A1" w:rsidRPr="00584929" w:rsidRDefault="004873A1" w:rsidP="004A29FC">
            <w:pPr>
              <w:pStyle w:val="Akapitzlist"/>
              <w:numPr>
                <w:ilvl w:val="0"/>
                <w:numId w:val="20"/>
              </w:numPr>
              <w:rPr>
                <w:sz w:val="22"/>
                <w:szCs w:val="22"/>
              </w:rPr>
            </w:pPr>
          </w:p>
        </w:tc>
        <w:tc>
          <w:tcPr>
            <w:tcW w:w="1968" w:type="dxa"/>
            <w:shd w:val="clear" w:color="auto" w:fill="auto"/>
          </w:tcPr>
          <w:p w14:paraId="2C02CDC4" w14:textId="69A6D2C2" w:rsidR="004873A1" w:rsidRPr="00584929" w:rsidRDefault="000414C3" w:rsidP="004A29FC">
            <w:pPr>
              <w:rPr>
                <w:rFonts w:ascii="Times New Roman" w:hAnsi="Times New Roman" w:cs="Times New Roman"/>
              </w:rPr>
            </w:pPr>
            <w:r w:rsidRPr="00584929">
              <w:rPr>
                <w:rFonts w:ascii="Times New Roman" w:hAnsi="Times New Roman" w:cs="Times New Roman"/>
              </w:rPr>
              <w:t>Ministerstwo Rozwoju</w:t>
            </w:r>
          </w:p>
        </w:tc>
        <w:tc>
          <w:tcPr>
            <w:tcW w:w="1526" w:type="dxa"/>
            <w:shd w:val="clear" w:color="auto" w:fill="auto"/>
          </w:tcPr>
          <w:p w14:paraId="029CA9E1" w14:textId="3C375845" w:rsidR="004873A1" w:rsidRPr="00584929" w:rsidRDefault="000414C3" w:rsidP="004A29FC">
            <w:pPr>
              <w:rPr>
                <w:rFonts w:ascii="Times New Roman" w:hAnsi="Times New Roman" w:cs="Times New Roman"/>
              </w:rPr>
            </w:pPr>
            <w:r w:rsidRPr="00584929">
              <w:rPr>
                <w:rFonts w:ascii="Times New Roman" w:hAnsi="Times New Roman" w:cs="Times New Roman"/>
              </w:rPr>
              <w:t>OSR pkt 7</w:t>
            </w:r>
          </w:p>
        </w:tc>
        <w:tc>
          <w:tcPr>
            <w:tcW w:w="5323" w:type="dxa"/>
            <w:shd w:val="clear" w:color="auto" w:fill="auto"/>
          </w:tcPr>
          <w:p w14:paraId="4F2DCFC4" w14:textId="200237B3" w:rsidR="000414C3" w:rsidRPr="00584929" w:rsidRDefault="000414C3" w:rsidP="003F6C60">
            <w:pPr>
              <w:jc w:val="both"/>
              <w:rPr>
                <w:rFonts w:ascii="Times New Roman" w:hAnsi="Times New Roman" w:cs="Times New Roman"/>
              </w:rPr>
            </w:pPr>
            <w:r w:rsidRPr="00584929">
              <w:rPr>
                <w:rFonts w:ascii="Times New Roman" w:hAnsi="Times New Roman" w:cs="Times New Roman"/>
              </w:rPr>
              <w:t>W odniesieniu do części 7 OSR, który dotyczy pieniężnego ujęcia wpływu m.in. na konkurencyjność gospodarki i przedsiębiorcz</w:t>
            </w:r>
            <w:r w:rsidR="003F6C60" w:rsidRPr="00584929">
              <w:rPr>
                <w:rFonts w:ascii="Times New Roman" w:hAnsi="Times New Roman" w:cs="Times New Roman"/>
              </w:rPr>
              <w:t>ość w poszczególnych grupach, w </w:t>
            </w:r>
            <w:r w:rsidRPr="00584929">
              <w:rPr>
                <w:rFonts w:ascii="Times New Roman" w:hAnsi="Times New Roman" w:cs="Times New Roman"/>
              </w:rPr>
              <w:t>przypadku, gdy takie ujęcie pieniężne jest trudne do oszacowania – należy to zaznaczyć. Jeśli Projektodawca uważa, że w ujęciu pieniężnym taki wpływ w określonych grupach podmiotów i w określonych latach nie występuje – należ</w:t>
            </w:r>
            <w:r w:rsidR="008A0584" w:rsidRPr="00584929">
              <w:rPr>
                <w:rFonts w:ascii="Times New Roman" w:hAnsi="Times New Roman" w:cs="Times New Roman"/>
              </w:rPr>
              <w:t>y uzupełnić OSR wpisując zera w </w:t>
            </w:r>
            <w:r w:rsidRPr="00584929">
              <w:rPr>
                <w:rFonts w:ascii="Times New Roman" w:hAnsi="Times New Roman" w:cs="Times New Roman"/>
              </w:rPr>
              <w:t>stosownych miejscach formularza OSR. Przy szacowaniu kosztów regulacyjnych przydatne mogą być wskazówki zawarte w dokumencie pt. „Zasady pomiaru kosztów regulacyjnych ponoszonych przez adresatów aktów prawnych”.</w:t>
            </w:r>
          </w:p>
        </w:tc>
        <w:tc>
          <w:tcPr>
            <w:tcW w:w="4785" w:type="dxa"/>
            <w:shd w:val="clear" w:color="auto" w:fill="auto"/>
          </w:tcPr>
          <w:p w14:paraId="7A4701DD" w14:textId="77777777" w:rsidR="004873A1" w:rsidRPr="00584929" w:rsidRDefault="000414C3" w:rsidP="004A29FC">
            <w:pPr>
              <w:rPr>
                <w:rFonts w:ascii="Times New Roman" w:hAnsi="Times New Roman" w:cs="Times New Roman"/>
                <w:b/>
              </w:rPr>
            </w:pPr>
            <w:r w:rsidRPr="00584929">
              <w:rPr>
                <w:rFonts w:ascii="Times New Roman" w:hAnsi="Times New Roman" w:cs="Times New Roman"/>
                <w:b/>
              </w:rPr>
              <w:t>Uwaga uwzględniona</w:t>
            </w:r>
          </w:p>
          <w:p w14:paraId="2B88606F" w14:textId="295C5B1A" w:rsidR="00ED1B23" w:rsidRPr="00584929" w:rsidRDefault="00ED1B23" w:rsidP="004A29FC">
            <w:pPr>
              <w:rPr>
                <w:rFonts w:ascii="Times New Roman" w:hAnsi="Times New Roman" w:cs="Times New Roman"/>
              </w:rPr>
            </w:pPr>
            <w:r w:rsidRPr="00584929">
              <w:rPr>
                <w:rFonts w:ascii="Times New Roman" w:hAnsi="Times New Roman" w:cs="Times New Roman"/>
              </w:rPr>
              <w:t>OSR zostanie zmieniony.</w:t>
            </w:r>
          </w:p>
        </w:tc>
      </w:tr>
    </w:tbl>
    <w:p w14:paraId="35F11DAA" w14:textId="77777777" w:rsidR="007566CB" w:rsidRPr="00DC7D81" w:rsidRDefault="007566CB" w:rsidP="00ED1B23">
      <w:pPr>
        <w:spacing w:after="0" w:line="240" w:lineRule="auto"/>
        <w:rPr>
          <w:rFonts w:ascii="Times New Roman" w:hAnsi="Times New Roman" w:cs="Times New Roman"/>
        </w:rPr>
      </w:pPr>
    </w:p>
    <w:sectPr w:rsidR="007566CB" w:rsidRPr="00DC7D81" w:rsidSect="000D2F26">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AE993" w14:textId="77777777" w:rsidR="00D7782B" w:rsidRDefault="00D7782B" w:rsidP="00E73A57">
      <w:pPr>
        <w:spacing w:after="0" w:line="240" w:lineRule="auto"/>
      </w:pPr>
      <w:r>
        <w:separator/>
      </w:r>
    </w:p>
  </w:endnote>
  <w:endnote w:type="continuationSeparator" w:id="0">
    <w:p w14:paraId="7D377437" w14:textId="77777777" w:rsidR="00D7782B" w:rsidRDefault="00D7782B" w:rsidP="00E73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2959957"/>
      <w:docPartObj>
        <w:docPartGallery w:val="Page Numbers (Bottom of Page)"/>
        <w:docPartUnique/>
      </w:docPartObj>
    </w:sdtPr>
    <w:sdtEndPr/>
    <w:sdtContent>
      <w:p w14:paraId="1BFAFF08" w14:textId="77777777" w:rsidR="002B62E0" w:rsidRDefault="002B62E0">
        <w:pPr>
          <w:pStyle w:val="Stopka"/>
          <w:jc w:val="right"/>
        </w:pPr>
        <w:r>
          <w:fldChar w:fldCharType="begin"/>
        </w:r>
        <w:r>
          <w:instrText>PAGE   \* MERGEFORMAT</w:instrText>
        </w:r>
        <w:r>
          <w:fldChar w:fldCharType="separate"/>
        </w:r>
        <w:r w:rsidR="00B8034B">
          <w:rPr>
            <w:noProof/>
          </w:rPr>
          <w:t>1</w:t>
        </w:r>
        <w:r>
          <w:fldChar w:fldCharType="end"/>
        </w:r>
      </w:p>
    </w:sdtContent>
  </w:sdt>
  <w:p w14:paraId="07169C7E" w14:textId="77777777" w:rsidR="002B62E0" w:rsidRDefault="002B62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1AB049" w14:textId="77777777" w:rsidR="00D7782B" w:rsidRDefault="00D7782B" w:rsidP="00E73A57">
      <w:pPr>
        <w:spacing w:after="0" w:line="240" w:lineRule="auto"/>
      </w:pPr>
      <w:r>
        <w:separator/>
      </w:r>
    </w:p>
  </w:footnote>
  <w:footnote w:type="continuationSeparator" w:id="0">
    <w:p w14:paraId="1CF51232" w14:textId="77777777" w:rsidR="00D7782B" w:rsidRDefault="00D7782B" w:rsidP="00E73A57">
      <w:pPr>
        <w:spacing w:after="0" w:line="240" w:lineRule="auto"/>
      </w:pPr>
      <w:r>
        <w:continuationSeparator/>
      </w:r>
    </w:p>
  </w:footnote>
  <w:footnote w:id="1">
    <w:p w14:paraId="69A84C32" w14:textId="229A6DF8" w:rsidR="002B62E0" w:rsidRPr="00EC28A4" w:rsidRDefault="002B62E0">
      <w:pPr>
        <w:pStyle w:val="Tekstprzypisudolnego"/>
        <w:rPr>
          <w:rFonts w:ascii="Times New Roman" w:hAnsi="Times New Roman" w:cs="Times New Roman"/>
        </w:rPr>
      </w:pPr>
      <w:r w:rsidRPr="00EC28A4">
        <w:rPr>
          <w:rStyle w:val="Odwoanieprzypisudolnego"/>
          <w:rFonts w:ascii="Times New Roman" w:hAnsi="Times New Roman" w:cs="Times New Roman"/>
        </w:rPr>
        <w:footnoteRef/>
      </w:r>
      <w:r w:rsidR="00EC28A4" w:rsidRPr="00EC28A4">
        <w:rPr>
          <w:rFonts w:ascii="Times New Roman" w:hAnsi="Times New Roman" w:cs="Times New Roman"/>
          <w:vertAlign w:val="superscript"/>
        </w:rPr>
        <w:t>)</w:t>
      </w:r>
      <w:r w:rsidRPr="00EC28A4">
        <w:rPr>
          <w:rFonts w:ascii="Times New Roman" w:hAnsi="Times New Roman" w:cs="Times New Roman"/>
        </w:rPr>
        <w:t xml:space="preserve"> </w:t>
      </w:r>
      <w:hyperlink r:id="rId1" w:history="1">
        <w:r w:rsidRPr="00EC28A4">
          <w:rPr>
            <w:rStyle w:val="Hipercze"/>
            <w:rFonts w:ascii="Times New Roman" w:hAnsi="Times New Roman" w:cs="Times New Roman"/>
          </w:rPr>
          <w:t>https://dane.gov.pl/pl/knowledgebase/useful-materials/standardy-otwartosci-danych</w:t>
        </w:r>
      </w:hyperlink>
      <w:r w:rsidRPr="00EC28A4">
        <w:rPr>
          <w:rFonts w:ascii="Times New Roman" w:hAnsi="Times New Roman" w:cs="Times New Roman"/>
        </w:rPr>
        <w:t xml:space="preserve"> </w:t>
      </w:r>
    </w:p>
  </w:footnote>
  <w:footnote w:id="2">
    <w:p w14:paraId="6D4A1EC7" w14:textId="01CB45EF" w:rsidR="002B62E0" w:rsidRPr="002F7710" w:rsidRDefault="002B62E0" w:rsidP="00085C57">
      <w:pPr>
        <w:pStyle w:val="Tekstprzypisudolnego"/>
        <w:jc w:val="both"/>
        <w:rPr>
          <w:rFonts w:ascii="Times New Roman" w:hAnsi="Times New Roman" w:cs="Times New Roman"/>
        </w:rPr>
      </w:pPr>
      <w:r w:rsidRPr="002F7710">
        <w:rPr>
          <w:rStyle w:val="Odwoanieprzypisudolnego"/>
          <w:rFonts w:ascii="Times New Roman" w:hAnsi="Times New Roman" w:cs="Times New Roman"/>
        </w:rPr>
        <w:footnoteRef/>
      </w:r>
      <w:r w:rsidR="002F7710" w:rsidRPr="002F7710">
        <w:rPr>
          <w:rFonts w:ascii="Times New Roman" w:hAnsi="Times New Roman" w:cs="Times New Roman"/>
          <w:vertAlign w:val="superscript"/>
        </w:rPr>
        <w:t>)</w:t>
      </w:r>
      <w:r w:rsidRPr="002F7710">
        <w:rPr>
          <w:rFonts w:ascii="Times New Roman" w:hAnsi="Times New Roman" w:cs="Times New Roman"/>
        </w:rPr>
        <w:t xml:space="preserve"> W omawianym zakresie art. 7 ust. 1 projektu ustawy jest tożsamy z art. 7 ust. 1 ustawy z dnia 25 lutego 2016 r. o ponownym wykorzystywaniu informacji sektora publicznego (Dz. U. z 2019 r. poz. 1446, zwana dalej jako: ustawa z 2016 r.). </w:t>
      </w:r>
    </w:p>
  </w:footnote>
  <w:footnote w:id="3">
    <w:p w14:paraId="3D63382D" w14:textId="26672ACD" w:rsidR="002B62E0" w:rsidRPr="002F7710" w:rsidRDefault="002B62E0" w:rsidP="00031B29">
      <w:pPr>
        <w:pStyle w:val="Tekstprzypisudolnego"/>
        <w:jc w:val="both"/>
        <w:rPr>
          <w:rFonts w:ascii="Times New Roman" w:hAnsi="Times New Roman" w:cs="Times New Roman"/>
        </w:rPr>
      </w:pPr>
      <w:r w:rsidRPr="002F7710">
        <w:rPr>
          <w:rStyle w:val="Odwoanieprzypisudolnego"/>
          <w:rFonts w:ascii="Times New Roman" w:hAnsi="Times New Roman" w:cs="Times New Roman"/>
        </w:rPr>
        <w:footnoteRef/>
      </w:r>
      <w:r w:rsidR="002F7710" w:rsidRPr="002F7710">
        <w:rPr>
          <w:rFonts w:ascii="Times New Roman" w:hAnsi="Times New Roman" w:cs="Times New Roman"/>
          <w:vertAlign w:val="superscript"/>
        </w:rPr>
        <w:t>)</w:t>
      </w:r>
      <w:r w:rsidRPr="002F7710">
        <w:rPr>
          <w:rFonts w:ascii="Times New Roman" w:hAnsi="Times New Roman" w:cs="Times New Roman"/>
        </w:rPr>
        <w:t xml:space="preserve"> W omawianym zakresie art. 6 ust. 3 projektu ustawy jest tożsamy z art. 6 ust. 3 ustawy z dnia 25 lutego 2016 r. o ponownym wykorzystywaniu informacji sektora publicznego (Dz. U. z 2019 r. poz. 1446, zwana dalej jako: ustawa z 2016 r.).</w:t>
      </w:r>
    </w:p>
  </w:footnote>
  <w:footnote w:id="4">
    <w:p w14:paraId="3C4D909B" w14:textId="1741E242" w:rsidR="002B62E0" w:rsidRPr="002F7710" w:rsidRDefault="002B62E0" w:rsidP="002F7710">
      <w:pPr>
        <w:pStyle w:val="Tekstprzypisudolnego"/>
        <w:jc w:val="both"/>
        <w:rPr>
          <w:rFonts w:ascii="Times New Roman" w:hAnsi="Times New Roman" w:cs="Times New Roman"/>
        </w:rPr>
      </w:pPr>
      <w:r w:rsidRPr="002F7710">
        <w:rPr>
          <w:rStyle w:val="Odwoanieprzypisudolnego"/>
          <w:rFonts w:ascii="Times New Roman" w:hAnsi="Times New Roman" w:cs="Times New Roman"/>
        </w:rPr>
        <w:footnoteRef/>
      </w:r>
      <w:r w:rsidR="002F7710" w:rsidRPr="002F7710">
        <w:rPr>
          <w:rFonts w:ascii="Times New Roman" w:hAnsi="Times New Roman" w:cs="Times New Roman"/>
          <w:vertAlign w:val="superscript"/>
        </w:rPr>
        <w:t>)</w:t>
      </w:r>
      <w:r w:rsidRPr="002F7710">
        <w:rPr>
          <w:rFonts w:ascii="Times New Roman" w:hAnsi="Times New Roman" w:cs="Times New Roman"/>
        </w:rPr>
        <w:t xml:space="preserve"> W omawianym zakresie art. 14 ust. 5 projektu ustawy jest tożsamy z art. 13 ust. 3 ustawy z dnia 25 lutego 2016 r. o ponownym wykorzystywaniu informacji sektora publicznego (Dz. U. z 2019 r. poz. 1446, zwana dalej jako: ustawa z 2016 r.).</w:t>
      </w:r>
    </w:p>
  </w:footnote>
  <w:footnote w:id="5">
    <w:p w14:paraId="57F976C5" w14:textId="34700B09" w:rsidR="002B62E0" w:rsidRPr="00C84837" w:rsidRDefault="002B62E0" w:rsidP="00C84837">
      <w:pPr>
        <w:pStyle w:val="Tekstprzypisudolnego"/>
        <w:jc w:val="both"/>
        <w:rPr>
          <w:rFonts w:ascii="Times New Roman" w:hAnsi="Times New Roman" w:cs="Times New Roman"/>
        </w:rPr>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Obwieszczenie Komisji „Wytyczne sprawie zalecanych licencji standardowych, zbiorów danych i opłat za ponowne wykorzystanie dokumentów” 2014/C 240/01, Dz. Urz. UE C 240 z 24.07.2014, str. 1; </w:t>
      </w:r>
      <w:hyperlink r:id="rId2" w:history="1">
        <w:r w:rsidRPr="00C84837">
          <w:rPr>
            <w:rStyle w:val="Hipercze"/>
            <w:rFonts w:ascii="Times New Roman" w:hAnsi="Times New Roman" w:cs="Times New Roman"/>
          </w:rPr>
          <w:t>https://eur-lex.europa.eu/legal-content/PL/TXT/?uri=CELEX%3A52014XC0724%2801%29</w:t>
        </w:r>
      </w:hyperlink>
      <w:r w:rsidRPr="00C84837">
        <w:rPr>
          <w:rFonts w:ascii="Times New Roman" w:hAnsi="Times New Roman" w:cs="Times New Roman"/>
        </w:rPr>
        <w:t xml:space="preserve">. </w:t>
      </w:r>
    </w:p>
  </w:footnote>
  <w:footnote w:id="6">
    <w:p w14:paraId="184E450D" w14:textId="1DE32457" w:rsidR="002B62E0" w:rsidRPr="00C84837" w:rsidRDefault="002B62E0" w:rsidP="00C84837">
      <w:pPr>
        <w:pStyle w:val="Tekstprzypisudolnego"/>
        <w:jc w:val="both"/>
        <w:rPr>
          <w:rFonts w:ascii="Times New Roman" w:hAnsi="Times New Roman" w:cs="Times New Roman"/>
        </w:rPr>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w:t>
      </w:r>
      <w:hyperlink r:id="rId3" w:history="1">
        <w:r w:rsidRPr="00C84837">
          <w:rPr>
            <w:rStyle w:val="Hipercze"/>
            <w:rFonts w:ascii="Times New Roman" w:hAnsi="Times New Roman" w:cs="Times New Roman"/>
          </w:rPr>
          <w:t>http://opendefinition.org/</w:t>
        </w:r>
      </w:hyperlink>
      <w:r w:rsidRPr="00C84837">
        <w:rPr>
          <w:rFonts w:ascii="Times New Roman" w:hAnsi="Times New Roman" w:cs="Times New Roman"/>
        </w:rPr>
        <w:t xml:space="preserve"> </w:t>
      </w:r>
    </w:p>
  </w:footnote>
  <w:footnote w:id="7">
    <w:p w14:paraId="0DBBC344" w14:textId="496432A2" w:rsidR="002B62E0" w:rsidRDefault="002B62E0" w:rsidP="00A73A03">
      <w:pPr>
        <w:pStyle w:val="Tekstprzypisudolnego"/>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w:t>
      </w:r>
      <w:hyperlink r:id="rId4" w:history="1">
        <w:r w:rsidRPr="00C84837">
          <w:rPr>
            <w:rStyle w:val="Hipercze"/>
            <w:rFonts w:ascii="Times New Roman" w:hAnsi="Times New Roman" w:cs="Times New Roman"/>
          </w:rPr>
          <w:t>http://creativecommons.org/licenses/</w:t>
        </w:r>
      </w:hyperlink>
      <w:r>
        <w:rPr>
          <w:rFonts w:ascii="Times New Roman" w:hAnsi="Times New Roman" w:cs="Times New Roman"/>
        </w:rPr>
        <w:t xml:space="preserve"> </w:t>
      </w:r>
    </w:p>
  </w:footnote>
  <w:footnote w:id="8">
    <w:p w14:paraId="61580C82" w14:textId="23F74CF1" w:rsidR="002B62E0" w:rsidRPr="00C84837" w:rsidRDefault="002B62E0" w:rsidP="00C84837">
      <w:pPr>
        <w:pStyle w:val="Tekstprzypisudolnego"/>
        <w:jc w:val="both"/>
        <w:rPr>
          <w:rFonts w:ascii="Times New Roman" w:hAnsi="Times New Roman" w:cs="Times New Roman"/>
        </w:rPr>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W omawianym zakresie art. 14 ust. 5 projektu ustawy jest tożsamy z art. 13 ust. 3 ustawy z dnia 25 lutego 2016 r. o ponownym wykorzystywaniu informacji sektora publicznego (Dz. U. z 2019 r. poz. 1446, zwana dalej jako: ustawa z 2016 r.).</w:t>
      </w:r>
    </w:p>
  </w:footnote>
  <w:footnote w:id="9">
    <w:p w14:paraId="01287882" w14:textId="40724791" w:rsidR="002B62E0" w:rsidRPr="00C84837" w:rsidRDefault="002B62E0" w:rsidP="00C84837">
      <w:pPr>
        <w:pStyle w:val="Tekstprzypisudolnego"/>
        <w:jc w:val="both"/>
        <w:rPr>
          <w:rFonts w:ascii="Times New Roman" w:hAnsi="Times New Roman" w:cs="Times New Roman"/>
        </w:rPr>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W omawianym zakresie art. 14 ust. 5 projektu ustawy jest tożsamy z art. 13 ust. 3 ustawy z dnia 25 lutego 2016 r. o ponownym wykorzystywaniu informacji sektora publicznego (Dz. U. z 2019 r. poz. 1446, zwana dalej jako: ustawa z 2016 r.).</w:t>
      </w:r>
    </w:p>
  </w:footnote>
  <w:footnote w:id="10">
    <w:p w14:paraId="650F6258" w14:textId="09BEBD46" w:rsidR="002B62E0" w:rsidRPr="00C84837" w:rsidRDefault="002B62E0">
      <w:pPr>
        <w:pStyle w:val="Tekstprzypisudolnego"/>
        <w:rPr>
          <w:rFonts w:ascii="Times New Roman" w:hAnsi="Times New Roman" w:cs="Times New Roman"/>
        </w:rPr>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w:t>
      </w:r>
      <w:hyperlink r:id="rId5" w:history="1">
        <w:r w:rsidRPr="00C84837">
          <w:rPr>
            <w:rStyle w:val="Hipercze"/>
            <w:rFonts w:ascii="Times New Roman" w:hAnsi="Times New Roman" w:cs="Times New Roman"/>
          </w:rPr>
          <w:t>https://www.gov.pl/web/nauka/dokumenty-na-temat-otwartego-dostepu</w:t>
        </w:r>
      </w:hyperlink>
      <w:r w:rsidRPr="00C84837">
        <w:rPr>
          <w:rFonts w:ascii="Times New Roman" w:hAnsi="Times New Roman" w:cs="Times New Roman"/>
        </w:rPr>
        <w:t xml:space="preserve"> </w:t>
      </w:r>
    </w:p>
  </w:footnote>
  <w:footnote w:id="11">
    <w:p w14:paraId="55DE5B0E" w14:textId="620F8809" w:rsidR="002B62E0" w:rsidRPr="00C84837" w:rsidRDefault="002B62E0" w:rsidP="00E63337">
      <w:pPr>
        <w:pStyle w:val="Tekstprzypisudolnego"/>
        <w:rPr>
          <w:rFonts w:ascii="Times New Roman" w:hAnsi="Times New Roman" w:cs="Times New Roman"/>
        </w:rPr>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w:t>
      </w:r>
      <w:hyperlink r:id="rId6" w:history="1">
        <w:r w:rsidRPr="00C84837">
          <w:rPr>
            <w:rStyle w:val="Hipercze"/>
            <w:rFonts w:ascii="Times New Roman" w:hAnsi="Times New Roman" w:cs="Times New Roman"/>
          </w:rPr>
          <w:t>https://www.gov.pl/web/nauka/dokumenty-na-temat-otwartego-dostepu</w:t>
        </w:r>
      </w:hyperlink>
      <w:r w:rsidRPr="00C84837">
        <w:rPr>
          <w:rFonts w:ascii="Times New Roman" w:hAnsi="Times New Roman" w:cs="Times New Roman"/>
        </w:rPr>
        <w:t xml:space="preserve"> </w:t>
      </w:r>
    </w:p>
  </w:footnote>
  <w:footnote w:id="12">
    <w:p w14:paraId="7DF4AFE6" w14:textId="1979A19A" w:rsidR="002B62E0" w:rsidRPr="00C84837" w:rsidRDefault="002B62E0" w:rsidP="008D351E">
      <w:pPr>
        <w:pStyle w:val="Tekstprzypisudolnego"/>
        <w:jc w:val="both"/>
        <w:rPr>
          <w:rFonts w:ascii="Times New Roman" w:hAnsi="Times New Roman" w:cs="Times New Roman"/>
        </w:rPr>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Rozporządzenie Ministra Cyfryzacji z dnia 23 sierpnia 2018 r. w sprawie zasobu informacyjnego przeznaczonego do udostępniania w centralnym repozytorium informacji publicznej (Dz. U. z 2018 r. poz. 1790)</w:t>
      </w:r>
    </w:p>
  </w:footnote>
  <w:footnote w:id="13">
    <w:p w14:paraId="22E37897" w14:textId="352D5070" w:rsidR="002B62E0" w:rsidRPr="00C84837" w:rsidRDefault="002B62E0" w:rsidP="006426E7">
      <w:pPr>
        <w:pStyle w:val="Tekstprzypisudolnego"/>
        <w:jc w:val="both"/>
        <w:rPr>
          <w:rFonts w:ascii="Times New Roman" w:hAnsi="Times New Roman" w:cs="Times New Roman"/>
        </w:rPr>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W omawianym zakresie art. 7 ust. 1 projektu ustawy jest tożsamy z art. 7 ust. 1 ustawy z dnia 25 lutego 2016 r. o ponownym wykorzystywaniu informacji sektora publicznego (Dz. U. z 2019 r. poz. 1446, zwana dalej jako: ustawa z 2016 r.). </w:t>
      </w:r>
    </w:p>
  </w:footnote>
  <w:footnote w:id="14">
    <w:p w14:paraId="0B95FBEB" w14:textId="3DD44AE4" w:rsidR="002B62E0" w:rsidRPr="00C84837" w:rsidRDefault="002B62E0" w:rsidP="006426E7">
      <w:pPr>
        <w:pStyle w:val="Tekstprzypisudolnego"/>
        <w:jc w:val="both"/>
        <w:rPr>
          <w:rFonts w:ascii="Times New Roman" w:hAnsi="Times New Roman" w:cs="Times New Roman"/>
        </w:rPr>
      </w:pPr>
      <w:r w:rsidRPr="00C84837">
        <w:rPr>
          <w:rStyle w:val="Odwoanieprzypisudolnego"/>
          <w:rFonts w:ascii="Times New Roman" w:hAnsi="Times New Roman" w:cs="Times New Roman"/>
        </w:rPr>
        <w:footnoteRef/>
      </w:r>
      <w:r w:rsidR="00C84837" w:rsidRPr="00C84837">
        <w:rPr>
          <w:rFonts w:ascii="Times New Roman" w:hAnsi="Times New Roman" w:cs="Times New Roman"/>
          <w:vertAlign w:val="superscript"/>
        </w:rPr>
        <w:t>)</w:t>
      </w:r>
      <w:r w:rsidRPr="00C84837">
        <w:rPr>
          <w:rFonts w:ascii="Times New Roman" w:hAnsi="Times New Roman" w:cs="Times New Roman"/>
        </w:rPr>
        <w:t xml:space="preserve"> W omawianym zakresie art. 6 ust. 3 projektu ustawy jest tożsamy z art. 6 ust. 3 ustawy z dnia 25 lutego 2016 r. o ponownym wykorzystywaniu informacji sektora publicznego (Dz. U. z 2019 r. poz. 1446, zwana dalej jako: ustawa z 2016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354D"/>
    <w:multiLevelType w:val="hybridMultilevel"/>
    <w:tmpl w:val="4290FD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811774"/>
    <w:multiLevelType w:val="hybridMultilevel"/>
    <w:tmpl w:val="DA0EE752"/>
    <w:lvl w:ilvl="0" w:tplc="9EA818A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2">
    <w:nsid w:val="13281F62"/>
    <w:multiLevelType w:val="hybridMultilevel"/>
    <w:tmpl w:val="8F36B7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851C5F"/>
    <w:multiLevelType w:val="hybridMultilevel"/>
    <w:tmpl w:val="7E7484FC"/>
    <w:lvl w:ilvl="0" w:tplc="818690D8">
      <w:start w:val="3"/>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0D7249"/>
    <w:multiLevelType w:val="hybridMultilevel"/>
    <w:tmpl w:val="C7EE9BF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A84528"/>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189B2702"/>
    <w:multiLevelType w:val="hybridMultilevel"/>
    <w:tmpl w:val="7E563424"/>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392F13"/>
    <w:multiLevelType w:val="hybridMultilevel"/>
    <w:tmpl w:val="41888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556322"/>
    <w:multiLevelType w:val="hybridMultilevel"/>
    <w:tmpl w:val="A02431CE"/>
    <w:lvl w:ilvl="0" w:tplc="8AAEC8E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682CA6"/>
    <w:multiLevelType w:val="hybridMultilevel"/>
    <w:tmpl w:val="14649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196E5C"/>
    <w:multiLevelType w:val="hybridMultilevel"/>
    <w:tmpl w:val="2A36DFF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FC21816"/>
    <w:multiLevelType w:val="hybridMultilevel"/>
    <w:tmpl w:val="7F3A43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4C96F0B"/>
    <w:multiLevelType w:val="hybridMultilevel"/>
    <w:tmpl w:val="2738F70E"/>
    <w:lvl w:ilvl="0" w:tplc="9EA818A2">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3">
    <w:nsid w:val="2833596C"/>
    <w:multiLevelType w:val="hybridMultilevel"/>
    <w:tmpl w:val="63620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C3930A3"/>
    <w:multiLevelType w:val="hybridMultilevel"/>
    <w:tmpl w:val="5754C6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2EAC4609"/>
    <w:multiLevelType w:val="hybridMultilevel"/>
    <w:tmpl w:val="08BC4E94"/>
    <w:lvl w:ilvl="0" w:tplc="CB865792">
      <w:start w:val="1"/>
      <w:numFmt w:val="decimal"/>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6">
    <w:nsid w:val="2ED3010E"/>
    <w:multiLevelType w:val="hybridMultilevel"/>
    <w:tmpl w:val="0310D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6573C3"/>
    <w:multiLevelType w:val="hybridMultilevel"/>
    <w:tmpl w:val="B49411B4"/>
    <w:lvl w:ilvl="0" w:tplc="9EA818A2">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8">
    <w:nsid w:val="31ED135D"/>
    <w:multiLevelType w:val="hybridMultilevel"/>
    <w:tmpl w:val="29F4D33C"/>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43B04FB"/>
    <w:multiLevelType w:val="hybridMultilevel"/>
    <w:tmpl w:val="B728F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CE645A"/>
    <w:multiLevelType w:val="hybridMultilevel"/>
    <w:tmpl w:val="3912B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9E25E1B"/>
    <w:multiLevelType w:val="hybridMultilevel"/>
    <w:tmpl w:val="F6A60A4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BBA7BF1"/>
    <w:multiLevelType w:val="hybridMultilevel"/>
    <w:tmpl w:val="345E63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10D406B"/>
    <w:multiLevelType w:val="hybridMultilevel"/>
    <w:tmpl w:val="0FF6A7BA"/>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B18192C"/>
    <w:multiLevelType w:val="hybridMultilevel"/>
    <w:tmpl w:val="7E5E5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BF36950"/>
    <w:multiLevelType w:val="hybridMultilevel"/>
    <w:tmpl w:val="CC183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CA10920"/>
    <w:multiLevelType w:val="hybridMultilevel"/>
    <w:tmpl w:val="658E85AA"/>
    <w:lvl w:ilvl="0" w:tplc="78D87CD0">
      <w:start w:val="1"/>
      <w:numFmt w:val="decimal"/>
      <w:lvlText w:val="%1."/>
      <w:lvlJc w:val="left"/>
      <w:pPr>
        <w:ind w:left="360" w:hanging="360"/>
      </w:pPr>
      <w:rPr>
        <w:rFonts w:hint="default"/>
      </w:r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D9C1863"/>
    <w:multiLevelType w:val="hybridMultilevel"/>
    <w:tmpl w:val="6F6E5A8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8">
    <w:nsid w:val="4E183E3C"/>
    <w:multiLevelType w:val="hybridMultilevel"/>
    <w:tmpl w:val="63620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644E21"/>
    <w:multiLevelType w:val="hybridMultilevel"/>
    <w:tmpl w:val="E1A619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C004E9"/>
    <w:multiLevelType w:val="hybridMultilevel"/>
    <w:tmpl w:val="58426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7E12471"/>
    <w:multiLevelType w:val="hybridMultilevel"/>
    <w:tmpl w:val="57328746"/>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7E6602B"/>
    <w:multiLevelType w:val="hybridMultilevel"/>
    <w:tmpl w:val="350C7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7F47D34"/>
    <w:multiLevelType w:val="hybridMultilevel"/>
    <w:tmpl w:val="4E044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02B2231"/>
    <w:multiLevelType w:val="hybridMultilevel"/>
    <w:tmpl w:val="F47007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BF334E"/>
    <w:multiLevelType w:val="hybridMultilevel"/>
    <w:tmpl w:val="8814F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9102DB"/>
    <w:multiLevelType w:val="hybridMultilevel"/>
    <w:tmpl w:val="972C2274"/>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5DC7E33"/>
    <w:multiLevelType w:val="hybridMultilevel"/>
    <w:tmpl w:val="B66A7568"/>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9E12918"/>
    <w:multiLevelType w:val="hybridMultilevel"/>
    <w:tmpl w:val="4F8AC16E"/>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C541338"/>
    <w:multiLevelType w:val="hybridMultilevel"/>
    <w:tmpl w:val="111004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D7B67C5"/>
    <w:multiLevelType w:val="hybridMultilevel"/>
    <w:tmpl w:val="963AD19E"/>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E587D9A"/>
    <w:multiLevelType w:val="hybridMultilevel"/>
    <w:tmpl w:val="B9EADEB8"/>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0511DDE"/>
    <w:multiLevelType w:val="hybridMultilevel"/>
    <w:tmpl w:val="F7227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AD210A"/>
    <w:multiLevelType w:val="hybridMultilevel"/>
    <w:tmpl w:val="80FCBA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2CC4568"/>
    <w:multiLevelType w:val="hybridMultilevel"/>
    <w:tmpl w:val="76CE3256"/>
    <w:lvl w:ilvl="0" w:tplc="B7BE9248">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5620B8A"/>
    <w:multiLevelType w:val="hybridMultilevel"/>
    <w:tmpl w:val="B644D9BC"/>
    <w:lvl w:ilvl="0" w:tplc="25E6667A">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56918DD"/>
    <w:multiLevelType w:val="hybridMultilevel"/>
    <w:tmpl w:val="9A1A6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6D76A7F"/>
    <w:multiLevelType w:val="hybridMultilevel"/>
    <w:tmpl w:val="CAF6B58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nsid w:val="79AB7858"/>
    <w:multiLevelType w:val="hybridMultilevel"/>
    <w:tmpl w:val="336AD2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4"/>
  </w:num>
  <w:num w:numId="3">
    <w:abstractNumId w:val="25"/>
  </w:num>
  <w:num w:numId="4">
    <w:abstractNumId w:val="34"/>
  </w:num>
  <w:num w:numId="5">
    <w:abstractNumId w:val="8"/>
  </w:num>
  <w:num w:numId="6">
    <w:abstractNumId w:val="43"/>
  </w:num>
  <w:num w:numId="7">
    <w:abstractNumId w:val="21"/>
  </w:num>
  <w:num w:numId="8">
    <w:abstractNumId w:val="15"/>
  </w:num>
  <w:num w:numId="9">
    <w:abstractNumId w:val="46"/>
  </w:num>
  <w:num w:numId="10">
    <w:abstractNumId w:val="14"/>
  </w:num>
  <w:num w:numId="11">
    <w:abstractNumId w:val="22"/>
  </w:num>
  <w:num w:numId="12">
    <w:abstractNumId w:val="32"/>
  </w:num>
  <w:num w:numId="13">
    <w:abstractNumId w:val="48"/>
  </w:num>
  <w:num w:numId="14">
    <w:abstractNumId w:val="42"/>
  </w:num>
  <w:num w:numId="15">
    <w:abstractNumId w:val="2"/>
  </w:num>
  <w:num w:numId="16">
    <w:abstractNumId w:val="38"/>
  </w:num>
  <w:num w:numId="17">
    <w:abstractNumId w:val="37"/>
  </w:num>
  <w:num w:numId="18">
    <w:abstractNumId w:val="41"/>
  </w:num>
  <w:num w:numId="19">
    <w:abstractNumId w:val="31"/>
  </w:num>
  <w:num w:numId="20">
    <w:abstractNumId w:val="44"/>
  </w:num>
  <w:num w:numId="21">
    <w:abstractNumId w:val="7"/>
  </w:num>
  <w:num w:numId="22">
    <w:abstractNumId w:val="16"/>
  </w:num>
  <w:num w:numId="23">
    <w:abstractNumId w:val="11"/>
  </w:num>
  <w:num w:numId="24">
    <w:abstractNumId w:val="30"/>
  </w:num>
  <w:num w:numId="25">
    <w:abstractNumId w:val="39"/>
  </w:num>
  <w:num w:numId="26">
    <w:abstractNumId w:val="29"/>
  </w:num>
  <w:num w:numId="27">
    <w:abstractNumId w:val="23"/>
  </w:num>
  <w:num w:numId="28">
    <w:abstractNumId w:val="40"/>
  </w:num>
  <w:num w:numId="29">
    <w:abstractNumId w:val="28"/>
  </w:num>
  <w:num w:numId="30">
    <w:abstractNumId w:val="6"/>
  </w:num>
  <w:num w:numId="31">
    <w:abstractNumId w:val="17"/>
  </w:num>
  <w:num w:numId="32">
    <w:abstractNumId w:val="10"/>
  </w:num>
  <w:num w:numId="33">
    <w:abstractNumId w:val="12"/>
  </w:num>
  <w:num w:numId="34">
    <w:abstractNumId w:val="13"/>
  </w:num>
  <w:num w:numId="35">
    <w:abstractNumId w:val="18"/>
  </w:num>
  <w:num w:numId="36">
    <w:abstractNumId w:val="4"/>
  </w:num>
  <w:num w:numId="37">
    <w:abstractNumId w:val="27"/>
  </w:num>
  <w:num w:numId="38">
    <w:abstractNumId w:val="47"/>
  </w:num>
  <w:num w:numId="39">
    <w:abstractNumId w:val="19"/>
  </w:num>
  <w:num w:numId="40">
    <w:abstractNumId w:val="0"/>
  </w:num>
  <w:num w:numId="41">
    <w:abstractNumId w:val="33"/>
  </w:num>
  <w:num w:numId="42">
    <w:abstractNumId w:val="35"/>
  </w:num>
  <w:num w:numId="43">
    <w:abstractNumId w:val="1"/>
  </w:num>
  <w:num w:numId="44">
    <w:abstractNumId w:val="26"/>
  </w:num>
  <w:num w:numId="45">
    <w:abstractNumId w:val="45"/>
  </w:num>
  <w:num w:numId="46">
    <w:abstractNumId w:val="3"/>
  </w:num>
  <w:num w:numId="47">
    <w:abstractNumId w:val="5"/>
  </w:num>
  <w:num w:numId="48">
    <w:abstractNumId w:val="9"/>
  </w:num>
  <w:num w:numId="49">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3BC"/>
    <w:rsid w:val="00002ADB"/>
    <w:rsid w:val="000040C1"/>
    <w:rsid w:val="0000436B"/>
    <w:rsid w:val="0000460B"/>
    <w:rsid w:val="00004823"/>
    <w:rsid w:val="00004AAA"/>
    <w:rsid w:val="00005CD5"/>
    <w:rsid w:val="000100EB"/>
    <w:rsid w:val="0001147C"/>
    <w:rsid w:val="00014FC9"/>
    <w:rsid w:val="000157E9"/>
    <w:rsid w:val="00020884"/>
    <w:rsid w:val="000210A2"/>
    <w:rsid w:val="00021ED0"/>
    <w:rsid w:val="00031B29"/>
    <w:rsid w:val="00037C6C"/>
    <w:rsid w:val="00037E09"/>
    <w:rsid w:val="00040E4E"/>
    <w:rsid w:val="000414C3"/>
    <w:rsid w:val="00044411"/>
    <w:rsid w:val="00045661"/>
    <w:rsid w:val="00045C02"/>
    <w:rsid w:val="00045EFF"/>
    <w:rsid w:val="0005253D"/>
    <w:rsid w:val="000537D9"/>
    <w:rsid w:val="000601DC"/>
    <w:rsid w:val="000611EB"/>
    <w:rsid w:val="00061D93"/>
    <w:rsid w:val="00065C27"/>
    <w:rsid w:val="0006644A"/>
    <w:rsid w:val="000665D6"/>
    <w:rsid w:val="00066A57"/>
    <w:rsid w:val="00070F67"/>
    <w:rsid w:val="000728C0"/>
    <w:rsid w:val="0007320F"/>
    <w:rsid w:val="00074A1D"/>
    <w:rsid w:val="0007592D"/>
    <w:rsid w:val="00075AA9"/>
    <w:rsid w:val="00076EE5"/>
    <w:rsid w:val="00083BD7"/>
    <w:rsid w:val="00085C57"/>
    <w:rsid w:val="00087D47"/>
    <w:rsid w:val="000903C5"/>
    <w:rsid w:val="0009089F"/>
    <w:rsid w:val="00090D6D"/>
    <w:rsid w:val="00092502"/>
    <w:rsid w:val="00092892"/>
    <w:rsid w:val="00092945"/>
    <w:rsid w:val="00092F20"/>
    <w:rsid w:val="00093742"/>
    <w:rsid w:val="000A619C"/>
    <w:rsid w:val="000A7BD5"/>
    <w:rsid w:val="000B192E"/>
    <w:rsid w:val="000B7C01"/>
    <w:rsid w:val="000C01E5"/>
    <w:rsid w:val="000C1A68"/>
    <w:rsid w:val="000C1B67"/>
    <w:rsid w:val="000C1E49"/>
    <w:rsid w:val="000C2ACB"/>
    <w:rsid w:val="000C371E"/>
    <w:rsid w:val="000C510B"/>
    <w:rsid w:val="000C7E51"/>
    <w:rsid w:val="000D2F26"/>
    <w:rsid w:val="000E14FE"/>
    <w:rsid w:val="000E242F"/>
    <w:rsid w:val="000E472E"/>
    <w:rsid w:val="000E4A06"/>
    <w:rsid w:val="000E578D"/>
    <w:rsid w:val="000E5C33"/>
    <w:rsid w:val="000E616E"/>
    <w:rsid w:val="000F0525"/>
    <w:rsid w:val="000F205B"/>
    <w:rsid w:val="000F6A16"/>
    <w:rsid w:val="000F7494"/>
    <w:rsid w:val="000F7EC1"/>
    <w:rsid w:val="001005DF"/>
    <w:rsid w:val="00101CFE"/>
    <w:rsid w:val="001030F7"/>
    <w:rsid w:val="001033F7"/>
    <w:rsid w:val="001047FD"/>
    <w:rsid w:val="0010514C"/>
    <w:rsid w:val="00105A0A"/>
    <w:rsid w:val="001060D6"/>
    <w:rsid w:val="001137AC"/>
    <w:rsid w:val="00120FC4"/>
    <w:rsid w:val="001212A3"/>
    <w:rsid w:val="001252BA"/>
    <w:rsid w:val="001255FD"/>
    <w:rsid w:val="00126C5F"/>
    <w:rsid w:val="0012764F"/>
    <w:rsid w:val="00130416"/>
    <w:rsid w:val="00130C77"/>
    <w:rsid w:val="00132B8A"/>
    <w:rsid w:val="001332A0"/>
    <w:rsid w:val="0013408B"/>
    <w:rsid w:val="00134A33"/>
    <w:rsid w:val="00135716"/>
    <w:rsid w:val="0013690F"/>
    <w:rsid w:val="001372BF"/>
    <w:rsid w:val="00142369"/>
    <w:rsid w:val="00143CDE"/>
    <w:rsid w:val="0014567A"/>
    <w:rsid w:val="001563F9"/>
    <w:rsid w:val="0015691B"/>
    <w:rsid w:val="00160162"/>
    <w:rsid w:val="00163B2C"/>
    <w:rsid w:val="00163F9F"/>
    <w:rsid w:val="0016402A"/>
    <w:rsid w:val="00164826"/>
    <w:rsid w:val="00166046"/>
    <w:rsid w:val="00166863"/>
    <w:rsid w:val="001672EF"/>
    <w:rsid w:val="001676E0"/>
    <w:rsid w:val="00170AA2"/>
    <w:rsid w:val="00171BB8"/>
    <w:rsid w:val="00171FE3"/>
    <w:rsid w:val="00173060"/>
    <w:rsid w:val="001750F5"/>
    <w:rsid w:val="00177BE5"/>
    <w:rsid w:val="00177D85"/>
    <w:rsid w:val="00177F51"/>
    <w:rsid w:val="001802F5"/>
    <w:rsid w:val="00180E65"/>
    <w:rsid w:val="001815C7"/>
    <w:rsid w:val="00182C1D"/>
    <w:rsid w:val="00183C16"/>
    <w:rsid w:val="001857F9"/>
    <w:rsid w:val="001874CA"/>
    <w:rsid w:val="0019172A"/>
    <w:rsid w:val="00193C42"/>
    <w:rsid w:val="001A00E6"/>
    <w:rsid w:val="001A0BA8"/>
    <w:rsid w:val="001A3764"/>
    <w:rsid w:val="001A3CE1"/>
    <w:rsid w:val="001A4297"/>
    <w:rsid w:val="001A494D"/>
    <w:rsid w:val="001A4FA9"/>
    <w:rsid w:val="001A5043"/>
    <w:rsid w:val="001A5ED7"/>
    <w:rsid w:val="001A7437"/>
    <w:rsid w:val="001B13BE"/>
    <w:rsid w:val="001B1709"/>
    <w:rsid w:val="001B7012"/>
    <w:rsid w:val="001B7525"/>
    <w:rsid w:val="001C4D35"/>
    <w:rsid w:val="001C51D6"/>
    <w:rsid w:val="001D0918"/>
    <w:rsid w:val="001D6AAD"/>
    <w:rsid w:val="001E1EEB"/>
    <w:rsid w:val="001E2508"/>
    <w:rsid w:val="001E56CD"/>
    <w:rsid w:val="001E5753"/>
    <w:rsid w:val="001E607E"/>
    <w:rsid w:val="001E6DBA"/>
    <w:rsid w:val="001F1DDC"/>
    <w:rsid w:val="001F2A02"/>
    <w:rsid w:val="001F4C2D"/>
    <w:rsid w:val="001F61BD"/>
    <w:rsid w:val="001F7619"/>
    <w:rsid w:val="001F7DC0"/>
    <w:rsid w:val="00200C79"/>
    <w:rsid w:val="002011D3"/>
    <w:rsid w:val="00202C6E"/>
    <w:rsid w:val="002046FA"/>
    <w:rsid w:val="002071EE"/>
    <w:rsid w:val="00213AE2"/>
    <w:rsid w:val="00216B45"/>
    <w:rsid w:val="002233F7"/>
    <w:rsid w:val="00224576"/>
    <w:rsid w:val="00231C68"/>
    <w:rsid w:val="0023289C"/>
    <w:rsid w:val="0023500D"/>
    <w:rsid w:val="0023584C"/>
    <w:rsid w:val="00236617"/>
    <w:rsid w:val="00236B04"/>
    <w:rsid w:val="00242B06"/>
    <w:rsid w:val="00244729"/>
    <w:rsid w:val="00244EEE"/>
    <w:rsid w:val="0024601A"/>
    <w:rsid w:val="00246AE5"/>
    <w:rsid w:val="00246FCA"/>
    <w:rsid w:val="00247987"/>
    <w:rsid w:val="0025107E"/>
    <w:rsid w:val="0025500E"/>
    <w:rsid w:val="0025529A"/>
    <w:rsid w:val="002573D5"/>
    <w:rsid w:val="00257AA9"/>
    <w:rsid w:val="002600EE"/>
    <w:rsid w:val="00261460"/>
    <w:rsid w:val="00261C27"/>
    <w:rsid w:val="002625AD"/>
    <w:rsid w:val="00263026"/>
    <w:rsid w:val="0026336B"/>
    <w:rsid w:val="0026360E"/>
    <w:rsid w:val="00263A2B"/>
    <w:rsid w:val="002671AA"/>
    <w:rsid w:val="002701DE"/>
    <w:rsid w:val="002707A7"/>
    <w:rsid w:val="00273CDC"/>
    <w:rsid w:val="00275E2A"/>
    <w:rsid w:val="00276B30"/>
    <w:rsid w:val="00280029"/>
    <w:rsid w:val="002815D6"/>
    <w:rsid w:val="002829E3"/>
    <w:rsid w:val="00282E44"/>
    <w:rsid w:val="00285004"/>
    <w:rsid w:val="00286332"/>
    <w:rsid w:val="002868E2"/>
    <w:rsid w:val="00292213"/>
    <w:rsid w:val="002933D2"/>
    <w:rsid w:val="0029359E"/>
    <w:rsid w:val="00295B6E"/>
    <w:rsid w:val="002A54B2"/>
    <w:rsid w:val="002A5A9E"/>
    <w:rsid w:val="002A7290"/>
    <w:rsid w:val="002A7F0E"/>
    <w:rsid w:val="002B1E0D"/>
    <w:rsid w:val="002B2DA2"/>
    <w:rsid w:val="002B51C9"/>
    <w:rsid w:val="002B5CCF"/>
    <w:rsid w:val="002B62E0"/>
    <w:rsid w:val="002B76EC"/>
    <w:rsid w:val="002B78D1"/>
    <w:rsid w:val="002C613D"/>
    <w:rsid w:val="002D5556"/>
    <w:rsid w:val="002D5C67"/>
    <w:rsid w:val="002D7FDC"/>
    <w:rsid w:val="002E194B"/>
    <w:rsid w:val="002E33CE"/>
    <w:rsid w:val="002E3835"/>
    <w:rsid w:val="002E3F14"/>
    <w:rsid w:val="002E433F"/>
    <w:rsid w:val="002E4AC7"/>
    <w:rsid w:val="002E5668"/>
    <w:rsid w:val="002E57F4"/>
    <w:rsid w:val="002E58A5"/>
    <w:rsid w:val="002F0F4F"/>
    <w:rsid w:val="002F2A17"/>
    <w:rsid w:val="002F43D5"/>
    <w:rsid w:val="002F4B0B"/>
    <w:rsid w:val="002F5023"/>
    <w:rsid w:val="002F7005"/>
    <w:rsid w:val="002F7710"/>
    <w:rsid w:val="00300A00"/>
    <w:rsid w:val="003042DF"/>
    <w:rsid w:val="0030527D"/>
    <w:rsid w:val="003100F9"/>
    <w:rsid w:val="00310EE4"/>
    <w:rsid w:val="00312433"/>
    <w:rsid w:val="00312ED6"/>
    <w:rsid w:val="00314729"/>
    <w:rsid w:val="00316366"/>
    <w:rsid w:val="003204F0"/>
    <w:rsid w:val="003208BD"/>
    <w:rsid w:val="003212C0"/>
    <w:rsid w:val="003216C6"/>
    <w:rsid w:val="003268DB"/>
    <w:rsid w:val="003347B7"/>
    <w:rsid w:val="00336A8F"/>
    <w:rsid w:val="00340A16"/>
    <w:rsid w:val="0034525F"/>
    <w:rsid w:val="00347084"/>
    <w:rsid w:val="00347635"/>
    <w:rsid w:val="0034773B"/>
    <w:rsid w:val="00347D76"/>
    <w:rsid w:val="00351518"/>
    <w:rsid w:val="003604BD"/>
    <w:rsid w:val="00367D73"/>
    <w:rsid w:val="00370101"/>
    <w:rsid w:val="003709D8"/>
    <w:rsid w:val="0037238A"/>
    <w:rsid w:val="003758B3"/>
    <w:rsid w:val="00376348"/>
    <w:rsid w:val="003800AD"/>
    <w:rsid w:val="003824FE"/>
    <w:rsid w:val="00383D76"/>
    <w:rsid w:val="003851A5"/>
    <w:rsid w:val="00385639"/>
    <w:rsid w:val="00385FDB"/>
    <w:rsid w:val="003863AF"/>
    <w:rsid w:val="003871D5"/>
    <w:rsid w:val="00390431"/>
    <w:rsid w:val="00390844"/>
    <w:rsid w:val="003913A1"/>
    <w:rsid w:val="00394AEC"/>
    <w:rsid w:val="003958F7"/>
    <w:rsid w:val="003969B2"/>
    <w:rsid w:val="00396B2B"/>
    <w:rsid w:val="0039737D"/>
    <w:rsid w:val="003A2120"/>
    <w:rsid w:val="003A36CB"/>
    <w:rsid w:val="003A4527"/>
    <w:rsid w:val="003A4934"/>
    <w:rsid w:val="003A5D2B"/>
    <w:rsid w:val="003B0D46"/>
    <w:rsid w:val="003B1E7B"/>
    <w:rsid w:val="003B2095"/>
    <w:rsid w:val="003C010E"/>
    <w:rsid w:val="003C1360"/>
    <w:rsid w:val="003C1C64"/>
    <w:rsid w:val="003C57F5"/>
    <w:rsid w:val="003C5A95"/>
    <w:rsid w:val="003C7D4D"/>
    <w:rsid w:val="003D14E1"/>
    <w:rsid w:val="003D18B8"/>
    <w:rsid w:val="003D1D75"/>
    <w:rsid w:val="003D2D67"/>
    <w:rsid w:val="003D367B"/>
    <w:rsid w:val="003D52CC"/>
    <w:rsid w:val="003D5867"/>
    <w:rsid w:val="003E0A3A"/>
    <w:rsid w:val="003E2E7E"/>
    <w:rsid w:val="003E39C6"/>
    <w:rsid w:val="003E41A1"/>
    <w:rsid w:val="003E6210"/>
    <w:rsid w:val="003F0F53"/>
    <w:rsid w:val="003F340D"/>
    <w:rsid w:val="003F3CA4"/>
    <w:rsid w:val="003F5D85"/>
    <w:rsid w:val="003F6C60"/>
    <w:rsid w:val="003F79F9"/>
    <w:rsid w:val="00400CB3"/>
    <w:rsid w:val="00400CE3"/>
    <w:rsid w:val="00404A2F"/>
    <w:rsid w:val="00404EB2"/>
    <w:rsid w:val="00405BA3"/>
    <w:rsid w:val="00413001"/>
    <w:rsid w:val="0041322B"/>
    <w:rsid w:val="00413B02"/>
    <w:rsid w:val="004175C9"/>
    <w:rsid w:val="00417C53"/>
    <w:rsid w:val="00420354"/>
    <w:rsid w:val="004205DA"/>
    <w:rsid w:val="004208C6"/>
    <w:rsid w:val="00422AB7"/>
    <w:rsid w:val="00423648"/>
    <w:rsid w:val="004268EE"/>
    <w:rsid w:val="00431656"/>
    <w:rsid w:val="00434AAF"/>
    <w:rsid w:val="00436B1E"/>
    <w:rsid w:val="00437638"/>
    <w:rsid w:val="00441245"/>
    <w:rsid w:val="004427D9"/>
    <w:rsid w:val="0044364C"/>
    <w:rsid w:val="00443BDB"/>
    <w:rsid w:val="0044570A"/>
    <w:rsid w:val="0044636B"/>
    <w:rsid w:val="00447677"/>
    <w:rsid w:val="0045125A"/>
    <w:rsid w:val="0045272B"/>
    <w:rsid w:val="00457C4A"/>
    <w:rsid w:val="004606C1"/>
    <w:rsid w:val="0046101A"/>
    <w:rsid w:val="00463268"/>
    <w:rsid w:val="00463CA1"/>
    <w:rsid w:val="00463E62"/>
    <w:rsid w:val="00466A8B"/>
    <w:rsid w:val="00467106"/>
    <w:rsid w:val="00467368"/>
    <w:rsid w:val="00470B21"/>
    <w:rsid w:val="0047121B"/>
    <w:rsid w:val="00471921"/>
    <w:rsid w:val="004736D7"/>
    <w:rsid w:val="00473C89"/>
    <w:rsid w:val="00476819"/>
    <w:rsid w:val="0048022A"/>
    <w:rsid w:val="00482145"/>
    <w:rsid w:val="00485503"/>
    <w:rsid w:val="004855C6"/>
    <w:rsid w:val="00485B4E"/>
    <w:rsid w:val="00486276"/>
    <w:rsid w:val="004873A1"/>
    <w:rsid w:val="00491788"/>
    <w:rsid w:val="00493D49"/>
    <w:rsid w:val="00494FF3"/>
    <w:rsid w:val="004A1025"/>
    <w:rsid w:val="004A29FC"/>
    <w:rsid w:val="004A40B9"/>
    <w:rsid w:val="004A57FF"/>
    <w:rsid w:val="004A63A3"/>
    <w:rsid w:val="004A6C8F"/>
    <w:rsid w:val="004B082C"/>
    <w:rsid w:val="004B2CDB"/>
    <w:rsid w:val="004B3383"/>
    <w:rsid w:val="004B3D31"/>
    <w:rsid w:val="004B4026"/>
    <w:rsid w:val="004C0E28"/>
    <w:rsid w:val="004C324E"/>
    <w:rsid w:val="004C37F7"/>
    <w:rsid w:val="004C51C4"/>
    <w:rsid w:val="004D06F7"/>
    <w:rsid w:val="004D1AC0"/>
    <w:rsid w:val="004D2583"/>
    <w:rsid w:val="004D307F"/>
    <w:rsid w:val="004D7D01"/>
    <w:rsid w:val="004E27A6"/>
    <w:rsid w:val="004E408E"/>
    <w:rsid w:val="004F0AF6"/>
    <w:rsid w:val="004F2887"/>
    <w:rsid w:val="004F3139"/>
    <w:rsid w:val="004F451C"/>
    <w:rsid w:val="004F5DB4"/>
    <w:rsid w:val="004F6622"/>
    <w:rsid w:val="00500829"/>
    <w:rsid w:val="005026F9"/>
    <w:rsid w:val="00504F28"/>
    <w:rsid w:val="005118EF"/>
    <w:rsid w:val="00512AEB"/>
    <w:rsid w:val="00513058"/>
    <w:rsid w:val="005137BC"/>
    <w:rsid w:val="00515041"/>
    <w:rsid w:val="00517223"/>
    <w:rsid w:val="0051783B"/>
    <w:rsid w:val="005212E0"/>
    <w:rsid w:val="00521864"/>
    <w:rsid w:val="00524223"/>
    <w:rsid w:val="00524E1C"/>
    <w:rsid w:val="00525C24"/>
    <w:rsid w:val="00530BB1"/>
    <w:rsid w:val="005340F5"/>
    <w:rsid w:val="00536745"/>
    <w:rsid w:val="005368AE"/>
    <w:rsid w:val="00540BD2"/>
    <w:rsid w:val="00541699"/>
    <w:rsid w:val="00542328"/>
    <w:rsid w:val="0054343D"/>
    <w:rsid w:val="00545FAF"/>
    <w:rsid w:val="005467B9"/>
    <w:rsid w:val="00547146"/>
    <w:rsid w:val="005504E7"/>
    <w:rsid w:val="00552F2D"/>
    <w:rsid w:val="005563C7"/>
    <w:rsid w:val="005569FA"/>
    <w:rsid w:val="0056053A"/>
    <w:rsid w:val="00562BF9"/>
    <w:rsid w:val="00564E48"/>
    <w:rsid w:val="00570AB1"/>
    <w:rsid w:val="005714ED"/>
    <w:rsid w:val="00574849"/>
    <w:rsid w:val="00575B44"/>
    <w:rsid w:val="00575C43"/>
    <w:rsid w:val="00577CD2"/>
    <w:rsid w:val="00582180"/>
    <w:rsid w:val="00583DC7"/>
    <w:rsid w:val="00584929"/>
    <w:rsid w:val="00586DFF"/>
    <w:rsid w:val="0058745F"/>
    <w:rsid w:val="00590A2D"/>
    <w:rsid w:val="00593F67"/>
    <w:rsid w:val="0059509B"/>
    <w:rsid w:val="00595D28"/>
    <w:rsid w:val="00596774"/>
    <w:rsid w:val="0059749A"/>
    <w:rsid w:val="005A0022"/>
    <w:rsid w:val="005A0465"/>
    <w:rsid w:val="005A1BFD"/>
    <w:rsid w:val="005A3208"/>
    <w:rsid w:val="005A33A9"/>
    <w:rsid w:val="005A4473"/>
    <w:rsid w:val="005A4892"/>
    <w:rsid w:val="005A680B"/>
    <w:rsid w:val="005A692E"/>
    <w:rsid w:val="005B06A0"/>
    <w:rsid w:val="005B2B1C"/>
    <w:rsid w:val="005B65C7"/>
    <w:rsid w:val="005C0283"/>
    <w:rsid w:val="005C165F"/>
    <w:rsid w:val="005C1DB8"/>
    <w:rsid w:val="005C3FA5"/>
    <w:rsid w:val="005D17FF"/>
    <w:rsid w:val="005D457B"/>
    <w:rsid w:val="005D45F6"/>
    <w:rsid w:val="005D4C04"/>
    <w:rsid w:val="005D6660"/>
    <w:rsid w:val="005D6A8C"/>
    <w:rsid w:val="005D787F"/>
    <w:rsid w:val="005D7E93"/>
    <w:rsid w:val="005E0E35"/>
    <w:rsid w:val="005E1799"/>
    <w:rsid w:val="005E1A0F"/>
    <w:rsid w:val="005E2FC6"/>
    <w:rsid w:val="005E64F8"/>
    <w:rsid w:val="005E6E8C"/>
    <w:rsid w:val="005F1589"/>
    <w:rsid w:val="005F1F4B"/>
    <w:rsid w:val="005F4BA9"/>
    <w:rsid w:val="005F7BEF"/>
    <w:rsid w:val="0060038C"/>
    <w:rsid w:val="006008E3"/>
    <w:rsid w:val="00600DC3"/>
    <w:rsid w:val="00604455"/>
    <w:rsid w:val="006059A9"/>
    <w:rsid w:val="006114C7"/>
    <w:rsid w:val="006174E0"/>
    <w:rsid w:val="00617B64"/>
    <w:rsid w:val="00621324"/>
    <w:rsid w:val="0062411E"/>
    <w:rsid w:val="00624652"/>
    <w:rsid w:val="00625513"/>
    <w:rsid w:val="0063178F"/>
    <w:rsid w:val="006320E2"/>
    <w:rsid w:val="00640300"/>
    <w:rsid w:val="006425DC"/>
    <w:rsid w:val="006426E7"/>
    <w:rsid w:val="00646CF3"/>
    <w:rsid w:val="00647584"/>
    <w:rsid w:val="00654F59"/>
    <w:rsid w:val="00655353"/>
    <w:rsid w:val="00655B23"/>
    <w:rsid w:val="00660B42"/>
    <w:rsid w:val="006610F8"/>
    <w:rsid w:val="006647B0"/>
    <w:rsid w:val="006648C8"/>
    <w:rsid w:val="006718B0"/>
    <w:rsid w:val="00674AD3"/>
    <w:rsid w:val="006772C3"/>
    <w:rsid w:val="0068518C"/>
    <w:rsid w:val="006861CE"/>
    <w:rsid w:val="006866C7"/>
    <w:rsid w:val="006908CD"/>
    <w:rsid w:val="00694C47"/>
    <w:rsid w:val="00697020"/>
    <w:rsid w:val="006A0549"/>
    <w:rsid w:val="006A0D22"/>
    <w:rsid w:val="006A0E22"/>
    <w:rsid w:val="006A3448"/>
    <w:rsid w:val="006A38C1"/>
    <w:rsid w:val="006A3FAE"/>
    <w:rsid w:val="006B23C2"/>
    <w:rsid w:val="006B2CEB"/>
    <w:rsid w:val="006B5537"/>
    <w:rsid w:val="006B5AFB"/>
    <w:rsid w:val="006B6CB0"/>
    <w:rsid w:val="006B6F7C"/>
    <w:rsid w:val="006B7556"/>
    <w:rsid w:val="006C2649"/>
    <w:rsid w:val="006C3577"/>
    <w:rsid w:val="006C3B29"/>
    <w:rsid w:val="006D2E26"/>
    <w:rsid w:val="006D6263"/>
    <w:rsid w:val="006E0002"/>
    <w:rsid w:val="006E05A2"/>
    <w:rsid w:val="006E1A3B"/>
    <w:rsid w:val="006E1F5F"/>
    <w:rsid w:val="006E28A2"/>
    <w:rsid w:val="006E2F83"/>
    <w:rsid w:val="006E319B"/>
    <w:rsid w:val="006F1077"/>
    <w:rsid w:val="006F29E2"/>
    <w:rsid w:val="006F6537"/>
    <w:rsid w:val="006F7230"/>
    <w:rsid w:val="006F7DA4"/>
    <w:rsid w:val="0070137E"/>
    <w:rsid w:val="00703567"/>
    <w:rsid w:val="007050ED"/>
    <w:rsid w:val="00707469"/>
    <w:rsid w:val="00711F71"/>
    <w:rsid w:val="00712EDD"/>
    <w:rsid w:val="00714666"/>
    <w:rsid w:val="007147E2"/>
    <w:rsid w:val="007238F8"/>
    <w:rsid w:val="00723E1A"/>
    <w:rsid w:val="00724F96"/>
    <w:rsid w:val="007259BA"/>
    <w:rsid w:val="00727C6D"/>
    <w:rsid w:val="00730AD7"/>
    <w:rsid w:val="00730E2B"/>
    <w:rsid w:val="00731139"/>
    <w:rsid w:val="00734853"/>
    <w:rsid w:val="00736EC9"/>
    <w:rsid w:val="0074034E"/>
    <w:rsid w:val="0074472C"/>
    <w:rsid w:val="00747421"/>
    <w:rsid w:val="00753EFE"/>
    <w:rsid w:val="007557F2"/>
    <w:rsid w:val="00755C38"/>
    <w:rsid w:val="007566CB"/>
    <w:rsid w:val="00762C17"/>
    <w:rsid w:val="00764DE0"/>
    <w:rsid w:val="00765039"/>
    <w:rsid w:val="007669DD"/>
    <w:rsid w:val="00773815"/>
    <w:rsid w:val="007758DE"/>
    <w:rsid w:val="00775A13"/>
    <w:rsid w:val="007816D0"/>
    <w:rsid w:val="00783A03"/>
    <w:rsid w:val="00785628"/>
    <w:rsid w:val="00787E13"/>
    <w:rsid w:val="00790659"/>
    <w:rsid w:val="00790B3E"/>
    <w:rsid w:val="00790F81"/>
    <w:rsid w:val="007920A2"/>
    <w:rsid w:val="007968DD"/>
    <w:rsid w:val="007A07D1"/>
    <w:rsid w:val="007A6962"/>
    <w:rsid w:val="007A7861"/>
    <w:rsid w:val="007B015D"/>
    <w:rsid w:val="007B3467"/>
    <w:rsid w:val="007B477F"/>
    <w:rsid w:val="007B5690"/>
    <w:rsid w:val="007C08E0"/>
    <w:rsid w:val="007C0AEB"/>
    <w:rsid w:val="007C489A"/>
    <w:rsid w:val="007C5B0F"/>
    <w:rsid w:val="007C678F"/>
    <w:rsid w:val="007C6B51"/>
    <w:rsid w:val="007C7535"/>
    <w:rsid w:val="007C79EA"/>
    <w:rsid w:val="007D0745"/>
    <w:rsid w:val="007D0B34"/>
    <w:rsid w:val="007D2F84"/>
    <w:rsid w:val="007D3BB8"/>
    <w:rsid w:val="007D6F33"/>
    <w:rsid w:val="007E1714"/>
    <w:rsid w:val="007E2F32"/>
    <w:rsid w:val="007E38C2"/>
    <w:rsid w:val="007E3A33"/>
    <w:rsid w:val="007E77A4"/>
    <w:rsid w:val="007F23BC"/>
    <w:rsid w:val="007F361B"/>
    <w:rsid w:val="007F41F8"/>
    <w:rsid w:val="007F49F7"/>
    <w:rsid w:val="00801969"/>
    <w:rsid w:val="008049C5"/>
    <w:rsid w:val="00804FB0"/>
    <w:rsid w:val="00806E9D"/>
    <w:rsid w:val="008115F1"/>
    <w:rsid w:val="00815897"/>
    <w:rsid w:val="00816499"/>
    <w:rsid w:val="00816B2F"/>
    <w:rsid w:val="00820BBD"/>
    <w:rsid w:val="008229AD"/>
    <w:rsid w:val="0082316F"/>
    <w:rsid w:val="00823D10"/>
    <w:rsid w:val="00823D42"/>
    <w:rsid w:val="008241A6"/>
    <w:rsid w:val="008254D3"/>
    <w:rsid w:val="00827AA4"/>
    <w:rsid w:val="00830BBC"/>
    <w:rsid w:val="0083273D"/>
    <w:rsid w:val="0083576B"/>
    <w:rsid w:val="008362E1"/>
    <w:rsid w:val="00843334"/>
    <w:rsid w:val="00843E70"/>
    <w:rsid w:val="00844490"/>
    <w:rsid w:val="0084518E"/>
    <w:rsid w:val="00847D4B"/>
    <w:rsid w:val="00851163"/>
    <w:rsid w:val="00852093"/>
    <w:rsid w:val="0085358D"/>
    <w:rsid w:val="008553D9"/>
    <w:rsid w:val="00857931"/>
    <w:rsid w:val="00857DE1"/>
    <w:rsid w:val="00857F6B"/>
    <w:rsid w:val="00857F82"/>
    <w:rsid w:val="00863DFC"/>
    <w:rsid w:val="00873D2A"/>
    <w:rsid w:val="008741D9"/>
    <w:rsid w:val="00880D52"/>
    <w:rsid w:val="00881A18"/>
    <w:rsid w:val="00881AF4"/>
    <w:rsid w:val="00881C8A"/>
    <w:rsid w:val="00884794"/>
    <w:rsid w:val="008852DE"/>
    <w:rsid w:val="00890D4F"/>
    <w:rsid w:val="0089283C"/>
    <w:rsid w:val="00892A45"/>
    <w:rsid w:val="00893992"/>
    <w:rsid w:val="00894D5C"/>
    <w:rsid w:val="00895C6F"/>
    <w:rsid w:val="00895FF3"/>
    <w:rsid w:val="00896211"/>
    <w:rsid w:val="0089736F"/>
    <w:rsid w:val="008A0584"/>
    <w:rsid w:val="008A145E"/>
    <w:rsid w:val="008A371E"/>
    <w:rsid w:val="008A42A0"/>
    <w:rsid w:val="008A6162"/>
    <w:rsid w:val="008A759F"/>
    <w:rsid w:val="008B2246"/>
    <w:rsid w:val="008B2A30"/>
    <w:rsid w:val="008B3B5D"/>
    <w:rsid w:val="008B4BB0"/>
    <w:rsid w:val="008B5CAE"/>
    <w:rsid w:val="008B7483"/>
    <w:rsid w:val="008C4332"/>
    <w:rsid w:val="008C4BCF"/>
    <w:rsid w:val="008C611E"/>
    <w:rsid w:val="008D077C"/>
    <w:rsid w:val="008D0EE2"/>
    <w:rsid w:val="008D351E"/>
    <w:rsid w:val="008D44C5"/>
    <w:rsid w:val="008D4E7A"/>
    <w:rsid w:val="008E131F"/>
    <w:rsid w:val="008E3831"/>
    <w:rsid w:val="008E54CF"/>
    <w:rsid w:val="008E694D"/>
    <w:rsid w:val="008F0FB3"/>
    <w:rsid w:val="008F14BB"/>
    <w:rsid w:val="008F2FCB"/>
    <w:rsid w:val="008F59E9"/>
    <w:rsid w:val="009020B5"/>
    <w:rsid w:val="009033CD"/>
    <w:rsid w:val="00904C85"/>
    <w:rsid w:val="00905558"/>
    <w:rsid w:val="00906601"/>
    <w:rsid w:val="00907B97"/>
    <w:rsid w:val="00910772"/>
    <w:rsid w:val="00911368"/>
    <w:rsid w:val="00912ED2"/>
    <w:rsid w:val="009133E6"/>
    <w:rsid w:val="00913D67"/>
    <w:rsid w:val="00915366"/>
    <w:rsid w:val="009175CA"/>
    <w:rsid w:val="009201FE"/>
    <w:rsid w:val="0092105B"/>
    <w:rsid w:val="0092159A"/>
    <w:rsid w:val="00924ED4"/>
    <w:rsid w:val="00925FEF"/>
    <w:rsid w:val="009267C1"/>
    <w:rsid w:val="00927431"/>
    <w:rsid w:val="009311E1"/>
    <w:rsid w:val="0093292E"/>
    <w:rsid w:val="009374E6"/>
    <w:rsid w:val="009444E0"/>
    <w:rsid w:val="00944F3A"/>
    <w:rsid w:val="009455C0"/>
    <w:rsid w:val="00945EFA"/>
    <w:rsid w:val="00947202"/>
    <w:rsid w:val="00953AA7"/>
    <w:rsid w:val="00956EEC"/>
    <w:rsid w:val="00962F73"/>
    <w:rsid w:val="00963AA3"/>
    <w:rsid w:val="00963D3F"/>
    <w:rsid w:val="0096480B"/>
    <w:rsid w:val="009653F2"/>
    <w:rsid w:val="00966702"/>
    <w:rsid w:val="00966E3C"/>
    <w:rsid w:val="00970BAB"/>
    <w:rsid w:val="00974C9A"/>
    <w:rsid w:val="00977C4C"/>
    <w:rsid w:val="0098007B"/>
    <w:rsid w:val="009819FF"/>
    <w:rsid w:val="00985394"/>
    <w:rsid w:val="00987491"/>
    <w:rsid w:val="009916E6"/>
    <w:rsid w:val="00991FF1"/>
    <w:rsid w:val="009A1B43"/>
    <w:rsid w:val="009A2125"/>
    <w:rsid w:val="009B04B5"/>
    <w:rsid w:val="009B253B"/>
    <w:rsid w:val="009B2CC8"/>
    <w:rsid w:val="009B32A3"/>
    <w:rsid w:val="009B4997"/>
    <w:rsid w:val="009B775A"/>
    <w:rsid w:val="009C2C19"/>
    <w:rsid w:val="009C6E8D"/>
    <w:rsid w:val="009D2955"/>
    <w:rsid w:val="009D3EF2"/>
    <w:rsid w:val="009D62A9"/>
    <w:rsid w:val="009D71AC"/>
    <w:rsid w:val="009E016B"/>
    <w:rsid w:val="009E3376"/>
    <w:rsid w:val="00A0024B"/>
    <w:rsid w:val="00A03A33"/>
    <w:rsid w:val="00A06B33"/>
    <w:rsid w:val="00A06BE1"/>
    <w:rsid w:val="00A070D6"/>
    <w:rsid w:val="00A07FD4"/>
    <w:rsid w:val="00A11045"/>
    <w:rsid w:val="00A11D67"/>
    <w:rsid w:val="00A16060"/>
    <w:rsid w:val="00A24181"/>
    <w:rsid w:val="00A27EC0"/>
    <w:rsid w:val="00A33B76"/>
    <w:rsid w:val="00A34DA9"/>
    <w:rsid w:val="00A36726"/>
    <w:rsid w:val="00A36BEC"/>
    <w:rsid w:val="00A42E22"/>
    <w:rsid w:val="00A470C3"/>
    <w:rsid w:val="00A5023D"/>
    <w:rsid w:val="00A51E5A"/>
    <w:rsid w:val="00A529A6"/>
    <w:rsid w:val="00A52BFA"/>
    <w:rsid w:val="00A53426"/>
    <w:rsid w:val="00A534D4"/>
    <w:rsid w:val="00A55837"/>
    <w:rsid w:val="00A57409"/>
    <w:rsid w:val="00A57AB5"/>
    <w:rsid w:val="00A57EF0"/>
    <w:rsid w:val="00A62F13"/>
    <w:rsid w:val="00A6614D"/>
    <w:rsid w:val="00A67158"/>
    <w:rsid w:val="00A73A03"/>
    <w:rsid w:val="00A74F06"/>
    <w:rsid w:val="00A75C92"/>
    <w:rsid w:val="00A77D02"/>
    <w:rsid w:val="00A811A6"/>
    <w:rsid w:val="00A8326C"/>
    <w:rsid w:val="00A85C9C"/>
    <w:rsid w:val="00A87E1A"/>
    <w:rsid w:val="00A905DA"/>
    <w:rsid w:val="00A90B10"/>
    <w:rsid w:val="00A90C88"/>
    <w:rsid w:val="00A91F5E"/>
    <w:rsid w:val="00A9227F"/>
    <w:rsid w:val="00A938BC"/>
    <w:rsid w:val="00A9537B"/>
    <w:rsid w:val="00A96534"/>
    <w:rsid w:val="00A9679C"/>
    <w:rsid w:val="00AA5319"/>
    <w:rsid w:val="00AA5B8F"/>
    <w:rsid w:val="00AA6833"/>
    <w:rsid w:val="00AA6FAE"/>
    <w:rsid w:val="00AA7A84"/>
    <w:rsid w:val="00AB0CD7"/>
    <w:rsid w:val="00AB1599"/>
    <w:rsid w:val="00AB2ED6"/>
    <w:rsid w:val="00AB378C"/>
    <w:rsid w:val="00AB480D"/>
    <w:rsid w:val="00AB5891"/>
    <w:rsid w:val="00AB6898"/>
    <w:rsid w:val="00AB75CB"/>
    <w:rsid w:val="00AC07CA"/>
    <w:rsid w:val="00AC329C"/>
    <w:rsid w:val="00AC397B"/>
    <w:rsid w:val="00AC4491"/>
    <w:rsid w:val="00AC566C"/>
    <w:rsid w:val="00AD03C9"/>
    <w:rsid w:val="00AD0B46"/>
    <w:rsid w:val="00AD2011"/>
    <w:rsid w:val="00AD3845"/>
    <w:rsid w:val="00AD7E4A"/>
    <w:rsid w:val="00AE765A"/>
    <w:rsid w:val="00AF0DC6"/>
    <w:rsid w:val="00AF2938"/>
    <w:rsid w:val="00AF44D2"/>
    <w:rsid w:val="00AF5C3E"/>
    <w:rsid w:val="00AF7449"/>
    <w:rsid w:val="00B00888"/>
    <w:rsid w:val="00B023B6"/>
    <w:rsid w:val="00B02E5F"/>
    <w:rsid w:val="00B05377"/>
    <w:rsid w:val="00B06992"/>
    <w:rsid w:val="00B10B4F"/>
    <w:rsid w:val="00B10B94"/>
    <w:rsid w:val="00B11A77"/>
    <w:rsid w:val="00B1287C"/>
    <w:rsid w:val="00B137D9"/>
    <w:rsid w:val="00B16781"/>
    <w:rsid w:val="00B301C2"/>
    <w:rsid w:val="00B3096F"/>
    <w:rsid w:val="00B309B5"/>
    <w:rsid w:val="00B30F57"/>
    <w:rsid w:val="00B310CE"/>
    <w:rsid w:val="00B32E1C"/>
    <w:rsid w:val="00B35C82"/>
    <w:rsid w:val="00B35D90"/>
    <w:rsid w:val="00B379EE"/>
    <w:rsid w:val="00B37EB8"/>
    <w:rsid w:val="00B405AA"/>
    <w:rsid w:val="00B40976"/>
    <w:rsid w:val="00B4631A"/>
    <w:rsid w:val="00B50243"/>
    <w:rsid w:val="00B511CF"/>
    <w:rsid w:val="00B53995"/>
    <w:rsid w:val="00B54F40"/>
    <w:rsid w:val="00B55A2B"/>
    <w:rsid w:val="00B5644B"/>
    <w:rsid w:val="00B56BC9"/>
    <w:rsid w:val="00B56CD1"/>
    <w:rsid w:val="00B575EF"/>
    <w:rsid w:val="00B61E48"/>
    <w:rsid w:val="00B65C9F"/>
    <w:rsid w:val="00B7282F"/>
    <w:rsid w:val="00B73965"/>
    <w:rsid w:val="00B73D41"/>
    <w:rsid w:val="00B77D19"/>
    <w:rsid w:val="00B8024F"/>
    <w:rsid w:val="00B8034B"/>
    <w:rsid w:val="00B819AD"/>
    <w:rsid w:val="00B81A8F"/>
    <w:rsid w:val="00B82B15"/>
    <w:rsid w:val="00B84400"/>
    <w:rsid w:val="00B84F40"/>
    <w:rsid w:val="00B9561C"/>
    <w:rsid w:val="00B9722D"/>
    <w:rsid w:val="00B97805"/>
    <w:rsid w:val="00BA202A"/>
    <w:rsid w:val="00BA6738"/>
    <w:rsid w:val="00BB4016"/>
    <w:rsid w:val="00BB418D"/>
    <w:rsid w:val="00BB4608"/>
    <w:rsid w:val="00BB4AF2"/>
    <w:rsid w:val="00BB73A4"/>
    <w:rsid w:val="00BC2391"/>
    <w:rsid w:val="00BC33BC"/>
    <w:rsid w:val="00BC456D"/>
    <w:rsid w:val="00BC62FA"/>
    <w:rsid w:val="00BC766B"/>
    <w:rsid w:val="00BD0FF8"/>
    <w:rsid w:val="00BD498F"/>
    <w:rsid w:val="00BD78EA"/>
    <w:rsid w:val="00BD7A95"/>
    <w:rsid w:val="00BD7C2C"/>
    <w:rsid w:val="00BE033A"/>
    <w:rsid w:val="00BE12A7"/>
    <w:rsid w:val="00BE194E"/>
    <w:rsid w:val="00BE2BD8"/>
    <w:rsid w:val="00BE4436"/>
    <w:rsid w:val="00BE530F"/>
    <w:rsid w:val="00BE7187"/>
    <w:rsid w:val="00BE7C38"/>
    <w:rsid w:val="00BE7C8D"/>
    <w:rsid w:val="00BF3688"/>
    <w:rsid w:val="00BF6540"/>
    <w:rsid w:val="00BF7F72"/>
    <w:rsid w:val="00C00C1A"/>
    <w:rsid w:val="00C0189A"/>
    <w:rsid w:val="00C02828"/>
    <w:rsid w:val="00C02DD7"/>
    <w:rsid w:val="00C02E90"/>
    <w:rsid w:val="00C02EBF"/>
    <w:rsid w:val="00C06DDF"/>
    <w:rsid w:val="00C076FC"/>
    <w:rsid w:val="00C07E6B"/>
    <w:rsid w:val="00C108B3"/>
    <w:rsid w:val="00C12F25"/>
    <w:rsid w:val="00C14618"/>
    <w:rsid w:val="00C24B32"/>
    <w:rsid w:val="00C277C3"/>
    <w:rsid w:val="00C32C45"/>
    <w:rsid w:val="00C33852"/>
    <w:rsid w:val="00C34735"/>
    <w:rsid w:val="00C35669"/>
    <w:rsid w:val="00C36AAF"/>
    <w:rsid w:val="00C36AD7"/>
    <w:rsid w:val="00C36BC0"/>
    <w:rsid w:val="00C37879"/>
    <w:rsid w:val="00C40C48"/>
    <w:rsid w:val="00C438C2"/>
    <w:rsid w:val="00C44596"/>
    <w:rsid w:val="00C4565F"/>
    <w:rsid w:val="00C46943"/>
    <w:rsid w:val="00C53BFE"/>
    <w:rsid w:val="00C5589B"/>
    <w:rsid w:val="00C60D76"/>
    <w:rsid w:val="00C62762"/>
    <w:rsid w:val="00C62B84"/>
    <w:rsid w:val="00C641CF"/>
    <w:rsid w:val="00C64D93"/>
    <w:rsid w:val="00C65E47"/>
    <w:rsid w:val="00C66882"/>
    <w:rsid w:val="00C701B4"/>
    <w:rsid w:val="00C71F38"/>
    <w:rsid w:val="00C77623"/>
    <w:rsid w:val="00C81A98"/>
    <w:rsid w:val="00C82AF0"/>
    <w:rsid w:val="00C84837"/>
    <w:rsid w:val="00C84ADC"/>
    <w:rsid w:val="00C92B2B"/>
    <w:rsid w:val="00C957A5"/>
    <w:rsid w:val="00CA0505"/>
    <w:rsid w:val="00CA090A"/>
    <w:rsid w:val="00CA0BBD"/>
    <w:rsid w:val="00CA12CD"/>
    <w:rsid w:val="00CA1F12"/>
    <w:rsid w:val="00CA35B7"/>
    <w:rsid w:val="00CA3D5B"/>
    <w:rsid w:val="00CA46DF"/>
    <w:rsid w:val="00CB0B97"/>
    <w:rsid w:val="00CB2B7B"/>
    <w:rsid w:val="00CB5B1F"/>
    <w:rsid w:val="00CC1ED4"/>
    <w:rsid w:val="00CC643B"/>
    <w:rsid w:val="00CD0307"/>
    <w:rsid w:val="00CD1A47"/>
    <w:rsid w:val="00CD1AFC"/>
    <w:rsid w:val="00CD4A63"/>
    <w:rsid w:val="00CD5241"/>
    <w:rsid w:val="00CD748F"/>
    <w:rsid w:val="00CE41F6"/>
    <w:rsid w:val="00CE50FA"/>
    <w:rsid w:val="00CE5E17"/>
    <w:rsid w:val="00CE6892"/>
    <w:rsid w:val="00CE6B6C"/>
    <w:rsid w:val="00CE6EAF"/>
    <w:rsid w:val="00CF01AC"/>
    <w:rsid w:val="00CF12F2"/>
    <w:rsid w:val="00CF2BBB"/>
    <w:rsid w:val="00CF33F1"/>
    <w:rsid w:val="00CF34D6"/>
    <w:rsid w:val="00CF37A4"/>
    <w:rsid w:val="00CF496D"/>
    <w:rsid w:val="00CF4995"/>
    <w:rsid w:val="00CF7932"/>
    <w:rsid w:val="00D0070F"/>
    <w:rsid w:val="00D028DC"/>
    <w:rsid w:val="00D04B6A"/>
    <w:rsid w:val="00D07620"/>
    <w:rsid w:val="00D077BB"/>
    <w:rsid w:val="00D129DF"/>
    <w:rsid w:val="00D13368"/>
    <w:rsid w:val="00D14638"/>
    <w:rsid w:val="00D15E18"/>
    <w:rsid w:val="00D21468"/>
    <w:rsid w:val="00D24379"/>
    <w:rsid w:val="00D243AF"/>
    <w:rsid w:val="00D249C5"/>
    <w:rsid w:val="00D255F2"/>
    <w:rsid w:val="00D30A56"/>
    <w:rsid w:val="00D30F80"/>
    <w:rsid w:val="00D337FB"/>
    <w:rsid w:val="00D3574E"/>
    <w:rsid w:val="00D359B3"/>
    <w:rsid w:val="00D35C84"/>
    <w:rsid w:val="00D36AD9"/>
    <w:rsid w:val="00D36BAB"/>
    <w:rsid w:val="00D37F89"/>
    <w:rsid w:val="00D40CE6"/>
    <w:rsid w:val="00D464B9"/>
    <w:rsid w:val="00D47B26"/>
    <w:rsid w:val="00D520EF"/>
    <w:rsid w:val="00D54F26"/>
    <w:rsid w:val="00D574D7"/>
    <w:rsid w:val="00D60E97"/>
    <w:rsid w:val="00D62B56"/>
    <w:rsid w:val="00D66CE4"/>
    <w:rsid w:val="00D6761E"/>
    <w:rsid w:val="00D67A88"/>
    <w:rsid w:val="00D7284F"/>
    <w:rsid w:val="00D73637"/>
    <w:rsid w:val="00D73AD2"/>
    <w:rsid w:val="00D75A8A"/>
    <w:rsid w:val="00D761B2"/>
    <w:rsid w:val="00D76B74"/>
    <w:rsid w:val="00D7782B"/>
    <w:rsid w:val="00D800C6"/>
    <w:rsid w:val="00D805EC"/>
    <w:rsid w:val="00D83FC1"/>
    <w:rsid w:val="00D91636"/>
    <w:rsid w:val="00D916BE"/>
    <w:rsid w:val="00D94ED7"/>
    <w:rsid w:val="00D94F07"/>
    <w:rsid w:val="00D97A78"/>
    <w:rsid w:val="00DA0DA6"/>
    <w:rsid w:val="00DA12A2"/>
    <w:rsid w:val="00DA254C"/>
    <w:rsid w:val="00DA68AB"/>
    <w:rsid w:val="00DA6D79"/>
    <w:rsid w:val="00DA6E2F"/>
    <w:rsid w:val="00DA7B60"/>
    <w:rsid w:val="00DB49ED"/>
    <w:rsid w:val="00DC0038"/>
    <w:rsid w:val="00DC240C"/>
    <w:rsid w:val="00DC441B"/>
    <w:rsid w:val="00DC547A"/>
    <w:rsid w:val="00DC5EB0"/>
    <w:rsid w:val="00DC62FA"/>
    <w:rsid w:val="00DC7D81"/>
    <w:rsid w:val="00DD33ED"/>
    <w:rsid w:val="00DD3661"/>
    <w:rsid w:val="00DD502F"/>
    <w:rsid w:val="00DE0227"/>
    <w:rsid w:val="00DE30F6"/>
    <w:rsid w:val="00DE48DD"/>
    <w:rsid w:val="00DF180D"/>
    <w:rsid w:val="00DF1BDC"/>
    <w:rsid w:val="00DF5172"/>
    <w:rsid w:val="00DF6AE1"/>
    <w:rsid w:val="00DF7A66"/>
    <w:rsid w:val="00E03D63"/>
    <w:rsid w:val="00E055CD"/>
    <w:rsid w:val="00E1185A"/>
    <w:rsid w:val="00E11A7D"/>
    <w:rsid w:val="00E13235"/>
    <w:rsid w:val="00E14511"/>
    <w:rsid w:val="00E15A61"/>
    <w:rsid w:val="00E2145A"/>
    <w:rsid w:val="00E2339B"/>
    <w:rsid w:val="00E24EEE"/>
    <w:rsid w:val="00E2560A"/>
    <w:rsid w:val="00E30FB8"/>
    <w:rsid w:val="00E31B4B"/>
    <w:rsid w:val="00E330D4"/>
    <w:rsid w:val="00E3472B"/>
    <w:rsid w:val="00E3703B"/>
    <w:rsid w:val="00E41D29"/>
    <w:rsid w:val="00E42D8F"/>
    <w:rsid w:val="00E44D11"/>
    <w:rsid w:val="00E45FF1"/>
    <w:rsid w:val="00E46D4B"/>
    <w:rsid w:val="00E4745F"/>
    <w:rsid w:val="00E5645D"/>
    <w:rsid w:val="00E605CC"/>
    <w:rsid w:val="00E61579"/>
    <w:rsid w:val="00E63337"/>
    <w:rsid w:val="00E63656"/>
    <w:rsid w:val="00E636EC"/>
    <w:rsid w:val="00E65422"/>
    <w:rsid w:val="00E6754F"/>
    <w:rsid w:val="00E7054F"/>
    <w:rsid w:val="00E70A17"/>
    <w:rsid w:val="00E72006"/>
    <w:rsid w:val="00E73A57"/>
    <w:rsid w:val="00E762ED"/>
    <w:rsid w:val="00E81ECA"/>
    <w:rsid w:val="00E82677"/>
    <w:rsid w:val="00E85D7E"/>
    <w:rsid w:val="00E86F7F"/>
    <w:rsid w:val="00E90F1E"/>
    <w:rsid w:val="00E91D91"/>
    <w:rsid w:val="00E968E7"/>
    <w:rsid w:val="00E96A31"/>
    <w:rsid w:val="00EA07FC"/>
    <w:rsid w:val="00EA20B9"/>
    <w:rsid w:val="00EA3530"/>
    <w:rsid w:val="00EA36EC"/>
    <w:rsid w:val="00EA3FDA"/>
    <w:rsid w:val="00EA410E"/>
    <w:rsid w:val="00EA4296"/>
    <w:rsid w:val="00EA430D"/>
    <w:rsid w:val="00EA4E24"/>
    <w:rsid w:val="00EA6045"/>
    <w:rsid w:val="00EA7CF9"/>
    <w:rsid w:val="00EB3269"/>
    <w:rsid w:val="00EB4D06"/>
    <w:rsid w:val="00EC11CD"/>
    <w:rsid w:val="00EC1D34"/>
    <w:rsid w:val="00EC28A4"/>
    <w:rsid w:val="00EC2F61"/>
    <w:rsid w:val="00EC6346"/>
    <w:rsid w:val="00ED0FF5"/>
    <w:rsid w:val="00ED1B23"/>
    <w:rsid w:val="00ED1DE1"/>
    <w:rsid w:val="00ED1E96"/>
    <w:rsid w:val="00ED2973"/>
    <w:rsid w:val="00ED2ECA"/>
    <w:rsid w:val="00ED30AB"/>
    <w:rsid w:val="00ED3858"/>
    <w:rsid w:val="00ED4B89"/>
    <w:rsid w:val="00ED767D"/>
    <w:rsid w:val="00EE1AC5"/>
    <w:rsid w:val="00EE20EC"/>
    <w:rsid w:val="00EE299E"/>
    <w:rsid w:val="00EE50BD"/>
    <w:rsid w:val="00EE596B"/>
    <w:rsid w:val="00EE59A5"/>
    <w:rsid w:val="00EE7FF9"/>
    <w:rsid w:val="00EF2960"/>
    <w:rsid w:val="00EF3082"/>
    <w:rsid w:val="00EF417B"/>
    <w:rsid w:val="00EF4B9D"/>
    <w:rsid w:val="00EF619B"/>
    <w:rsid w:val="00F02BC5"/>
    <w:rsid w:val="00F0552D"/>
    <w:rsid w:val="00F12D09"/>
    <w:rsid w:val="00F148BB"/>
    <w:rsid w:val="00F14C56"/>
    <w:rsid w:val="00F15A89"/>
    <w:rsid w:val="00F2224C"/>
    <w:rsid w:val="00F22E24"/>
    <w:rsid w:val="00F22E50"/>
    <w:rsid w:val="00F2481E"/>
    <w:rsid w:val="00F24831"/>
    <w:rsid w:val="00F27946"/>
    <w:rsid w:val="00F30ABD"/>
    <w:rsid w:val="00F315F5"/>
    <w:rsid w:val="00F37B8B"/>
    <w:rsid w:val="00F408F3"/>
    <w:rsid w:val="00F41070"/>
    <w:rsid w:val="00F42870"/>
    <w:rsid w:val="00F47F7A"/>
    <w:rsid w:val="00F50F1B"/>
    <w:rsid w:val="00F53726"/>
    <w:rsid w:val="00F603CA"/>
    <w:rsid w:val="00F618E4"/>
    <w:rsid w:val="00F62185"/>
    <w:rsid w:val="00F63680"/>
    <w:rsid w:val="00F64C36"/>
    <w:rsid w:val="00F6622C"/>
    <w:rsid w:val="00F6748A"/>
    <w:rsid w:val="00F67890"/>
    <w:rsid w:val="00F72C62"/>
    <w:rsid w:val="00F76B9F"/>
    <w:rsid w:val="00F77095"/>
    <w:rsid w:val="00F803D4"/>
    <w:rsid w:val="00F81C91"/>
    <w:rsid w:val="00F82A78"/>
    <w:rsid w:val="00F91458"/>
    <w:rsid w:val="00FA06C9"/>
    <w:rsid w:val="00FA0CB8"/>
    <w:rsid w:val="00FA3FA1"/>
    <w:rsid w:val="00FA44BF"/>
    <w:rsid w:val="00FA4D2E"/>
    <w:rsid w:val="00FA54E9"/>
    <w:rsid w:val="00FA5B27"/>
    <w:rsid w:val="00FA5F12"/>
    <w:rsid w:val="00FA6583"/>
    <w:rsid w:val="00FB18A3"/>
    <w:rsid w:val="00FB3873"/>
    <w:rsid w:val="00FB427C"/>
    <w:rsid w:val="00FB7A7C"/>
    <w:rsid w:val="00FC0903"/>
    <w:rsid w:val="00FC2551"/>
    <w:rsid w:val="00FC37FD"/>
    <w:rsid w:val="00FC45CC"/>
    <w:rsid w:val="00FC5447"/>
    <w:rsid w:val="00FD110E"/>
    <w:rsid w:val="00FD3267"/>
    <w:rsid w:val="00FD5309"/>
    <w:rsid w:val="00FD71BF"/>
    <w:rsid w:val="00FE1F19"/>
    <w:rsid w:val="00FE444D"/>
    <w:rsid w:val="00FE5379"/>
    <w:rsid w:val="00FE67F6"/>
    <w:rsid w:val="00FE6861"/>
    <w:rsid w:val="00FE7075"/>
    <w:rsid w:val="00FE7115"/>
    <w:rsid w:val="00FE7F3C"/>
    <w:rsid w:val="00FF2A80"/>
    <w:rsid w:val="00FF4943"/>
    <w:rsid w:val="00FF4E86"/>
    <w:rsid w:val="00FF4F9B"/>
    <w:rsid w:val="00FF57E4"/>
    <w:rsid w:val="00FF66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4259E"/>
  <w15:chartTrackingRefBased/>
  <w15:docId w15:val="{5D63B005-E8C1-4E48-9C3A-740576F29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457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D2F26"/>
    <w:pPr>
      <w:spacing w:after="0" w:line="240" w:lineRule="auto"/>
      <w:ind w:left="720"/>
      <w:contextualSpacing/>
    </w:pPr>
    <w:rPr>
      <w:rFonts w:ascii="Times New Roman" w:eastAsia="Calibri" w:hAnsi="Times New Roman" w:cs="Times New Roman"/>
      <w:sz w:val="24"/>
      <w:szCs w:val="24"/>
      <w:lang w:eastAsia="pl-PL"/>
    </w:rPr>
  </w:style>
  <w:style w:type="character" w:styleId="Hipercze">
    <w:name w:val="Hyperlink"/>
    <w:basedOn w:val="Domylnaczcionkaakapitu"/>
    <w:uiPriority w:val="99"/>
    <w:unhideWhenUsed/>
    <w:rsid w:val="000D2F26"/>
    <w:rPr>
      <w:color w:val="0563C1" w:themeColor="hyperlink"/>
      <w:u w:val="single"/>
    </w:rPr>
  </w:style>
  <w:style w:type="table" w:styleId="Zwykatabela1">
    <w:name w:val="Plain Table 1"/>
    <w:basedOn w:val="Standardowy"/>
    <w:uiPriority w:val="41"/>
    <w:rsid w:val="000D2F2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a">
    <w:name w:val="Table Grid"/>
    <w:basedOn w:val="Standardowy"/>
    <w:uiPriority w:val="39"/>
    <w:rsid w:val="000D2F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1A4FA9"/>
    <w:rPr>
      <w:sz w:val="16"/>
      <w:szCs w:val="16"/>
    </w:rPr>
  </w:style>
  <w:style w:type="paragraph" w:styleId="Tekstkomentarza">
    <w:name w:val="annotation text"/>
    <w:basedOn w:val="Normalny"/>
    <w:link w:val="TekstkomentarzaZnak"/>
    <w:uiPriority w:val="99"/>
    <w:unhideWhenUsed/>
    <w:rsid w:val="001A4FA9"/>
    <w:pPr>
      <w:spacing w:line="240" w:lineRule="auto"/>
    </w:pPr>
    <w:rPr>
      <w:sz w:val="20"/>
      <w:szCs w:val="20"/>
    </w:rPr>
  </w:style>
  <w:style w:type="character" w:customStyle="1" w:styleId="TekstkomentarzaZnak">
    <w:name w:val="Tekst komentarza Znak"/>
    <w:basedOn w:val="Domylnaczcionkaakapitu"/>
    <w:link w:val="Tekstkomentarza"/>
    <w:uiPriority w:val="99"/>
    <w:rsid w:val="001A4FA9"/>
    <w:rPr>
      <w:sz w:val="20"/>
      <w:szCs w:val="20"/>
    </w:rPr>
  </w:style>
  <w:style w:type="paragraph" w:styleId="Tematkomentarza">
    <w:name w:val="annotation subject"/>
    <w:basedOn w:val="Tekstkomentarza"/>
    <w:next w:val="Tekstkomentarza"/>
    <w:link w:val="TematkomentarzaZnak"/>
    <w:uiPriority w:val="99"/>
    <w:semiHidden/>
    <w:unhideWhenUsed/>
    <w:rsid w:val="001A4FA9"/>
    <w:rPr>
      <w:b/>
      <w:bCs/>
    </w:rPr>
  </w:style>
  <w:style w:type="character" w:customStyle="1" w:styleId="TematkomentarzaZnak">
    <w:name w:val="Temat komentarza Znak"/>
    <w:basedOn w:val="TekstkomentarzaZnak"/>
    <w:link w:val="Tematkomentarza"/>
    <w:uiPriority w:val="99"/>
    <w:semiHidden/>
    <w:rsid w:val="001A4FA9"/>
    <w:rPr>
      <w:b/>
      <w:bCs/>
      <w:sz w:val="20"/>
      <w:szCs w:val="20"/>
    </w:rPr>
  </w:style>
  <w:style w:type="paragraph" w:styleId="Tekstdymka">
    <w:name w:val="Balloon Text"/>
    <w:basedOn w:val="Normalny"/>
    <w:link w:val="TekstdymkaZnak"/>
    <w:uiPriority w:val="99"/>
    <w:semiHidden/>
    <w:unhideWhenUsed/>
    <w:rsid w:val="001A4F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4FA9"/>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E73A5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73A57"/>
    <w:rPr>
      <w:sz w:val="20"/>
      <w:szCs w:val="20"/>
    </w:rPr>
  </w:style>
  <w:style w:type="character" w:styleId="Odwoanieprzypisukocowego">
    <w:name w:val="endnote reference"/>
    <w:basedOn w:val="Domylnaczcionkaakapitu"/>
    <w:uiPriority w:val="99"/>
    <w:semiHidden/>
    <w:unhideWhenUsed/>
    <w:rsid w:val="00E73A57"/>
    <w:rPr>
      <w:vertAlign w:val="superscript"/>
    </w:rPr>
  </w:style>
  <w:style w:type="character" w:styleId="UyteHipercze">
    <w:name w:val="FollowedHyperlink"/>
    <w:basedOn w:val="Domylnaczcionkaakapitu"/>
    <w:uiPriority w:val="99"/>
    <w:semiHidden/>
    <w:unhideWhenUsed/>
    <w:rsid w:val="00F12D09"/>
    <w:rPr>
      <w:color w:val="954F72" w:themeColor="followedHyperlink"/>
      <w:u w:val="single"/>
    </w:rPr>
  </w:style>
  <w:style w:type="paragraph" w:styleId="Tekstprzypisudolnego">
    <w:name w:val="footnote text"/>
    <w:basedOn w:val="Normalny"/>
    <w:link w:val="TekstprzypisudolnegoZnak"/>
    <w:uiPriority w:val="99"/>
    <w:semiHidden/>
    <w:unhideWhenUsed/>
    <w:rsid w:val="00F408F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408F3"/>
    <w:rPr>
      <w:sz w:val="20"/>
      <w:szCs w:val="20"/>
    </w:rPr>
  </w:style>
  <w:style w:type="character" w:styleId="Odwoanieprzypisudolnego">
    <w:name w:val="footnote reference"/>
    <w:basedOn w:val="Domylnaczcionkaakapitu"/>
    <w:uiPriority w:val="99"/>
    <w:semiHidden/>
    <w:unhideWhenUsed/>
    <w:rsid w:val="00F408F3"/>
    <w:rPr>
      <w:vertAlign w:val="superscript"/>
    </w:rPr>
  </w:style>
  <w:style w:type="paragraph" w:styleId="Nagwek">
    <w:name w:val="header"/>
    <w:basedOn w:val="Normalny"/>
    <w:link w:val="NagwekZnak"/>
    <w:uiPriority w:val="99"/>
    <w:unhideWhenUsed/>
    <w:rsid w:val="006A0E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0E22"/>
  </w:style>
  <w:style w:type="paragraph" w:styleId="Stopka">
    <w:name w:val="footer"/>
    <w:basedOn w:val="Normalny"/>
    <w:link w:val="StopkaZnak"/>
    <w:uiPriority w:val="99"/>
    <w:unhideWhenUsed/>
    <w:rsid w:val="006A0E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0E22"/>
  </w:style>
  <w:style w:type="paragraph" w:customStyle="1" w:styleId="Default">
    <w:name w:val="Default"/>
    <w:rsid w:val="00D30A5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10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lon.nauka.gov.pl/opi/aa/rejestry/nauka?execution=e1s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etworkrail.co.uk/who-we-are/transparency-and-ethics/transparency/open-data-feed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opendefinition.org/" TargetMode="External"/><Relationship Id="rId2" Type="http://schemas.openxmlformats.org/officeDocument/2006/relationships/hyperlink" Target="https://eur-lex.europa.eu/legal-content/PL/TXT/?uri=CELEX%3A52014XC0724%2801%29" TargetMode="External"/><Relationship Id="rId1" Type="http://schemas.openxmlformats.org/officeDocument/2006/relationships/hyperlink" Target="https://dane.gov.pl/pl/knowledgebase/useful-materials/standardy-otwartosci-danych" TargetMode="External"/><Relationship Id="rId6" Type="http://schemas.openxmlformats.org/officeDocument/2006/relationships/hyperlink" Target="https://www.gov.pl/web/nauka/dokumenty-na-temat-otwartego-dostepu" TargetMode="External"/><Relationship Id="rId5" Type="http://schemas.openxmlformats.org/officeDocument/2006/relationships/hyperlink" Target="https://www.gov.pl/web/nauka/dokumenty-na-temat-otwartego-dostepu" TargetMode="External"/><Relationship Id="rId4" Type="http://schemas.openxmlformats.org/officeDocument/2006/relationships/hyperlink" Target="http://creativecommons.org/license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CE5BD-3941-48EE-99C4-77D6A5E2B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28769</Words>
  <Characters>172620</Characters>
  <Application>Microsoft Office Word</Application>
  <DocSecurity>0</DocSecurity>
  <Lines>1438</Lines>
  <Paragraphs>401</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200988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Mikołaj</dc:creator>
  <cp:keywords/>
  <dc:description/>
  <cp:lastModifiedBy>Gapska-Szczygieł Małgorzata</cp:lastModifiedBy>
  <cp:revision>2</cp:revision>
  <dcterms:created xsi:type="dcterms:W3CDTF">2021-01-11T09:35:00Z</dcterms:created>
  <dcterms:modified xsi:type="dcterms:W3CDTF">2021-01-11T09:35:00Z</dcterms:modified>
</cp:coreProperties>
</file>